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proofErr w:type="gramStart"/>
      <w:r w:rsidRPr="00F6439B">
        <w:rPr>
          <w:rFonts w:ascii="新細明體" w:eastAsia="新細明體" w:hAnsi="新細明體" w:cs="新細明體" w:hint="eastAsia"/>
          <w:color w:val="000000"/>
        </w:rPr>
        <w:t>─</w:t>
      </w:r>
      <w:proofErr w:type="gramEnd"/>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1" w:name="Article_Eff_Date"/>
      <w:r w:rsidR="0031289E" w:rsidRPr="0031289E">
        <w:rPr>
          <w:rFonts w:ascii="新細明體" w:eastAsia="新細明體" w:hAnsi="新細明體" w:cs="新細明體" w:hint="eastAsia"/>
          <w:color w:val="000000"/>
        </w:rPr>
        <w:t>草案</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270"/>
        <w:gridCol w:w="5354"/>
        <w:gridCol w:w="5355"/>
        <w:gridCol w:w="2012"/>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AA-11210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受託買賣及成交作業之稽核</w:t>
            </w:r>
          </w:p>
          <w:p w14:paraId="068F7CEF"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49B88835"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配合內部控制制度CA-11210修正。</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對得為代理開戶且依規須函證者，於未完成函證確認程序前，是否未接受委託買賣。公司對客戶單一帳戶無論成交金額，其未曾申報或有異動之代理人資料，是否逐日依規定確實傳輸證交所。營業員接受代理人代理客戶買賣，或公司之董事、監察人及受僱人代理他人買賣，是否確認已檢附委任授權書，並不得違反主管機關及證交所之規定。</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對得為代理開戶且依規須函證者，於未完成函證確認程序前，是否未接受委託買賣。公司對客戶單一帳戶無論成交金額，其未曾申報或有異動之代理人資料，是否逐日依規定確實傳輸證交所。營業員接受代理人代理客戶買賣，或公司之董事、監察人及受僱人代理他人買賣，是否確認已檢附委任授權書，並不得違反主管機關及證交所之規定。</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579F16" w14:textId="77777777">
        <w:tc>
          <w:tcPr>
            <w:tcW w:w="1384" w:type="dxa"/>
            <w:vMerge/>
            <w:tcBorders>
              <w:left w:val="single" w:sz="12" w:space="0" w:color="auto"/>
            </w:tcBorders>
          </w:tcPr>
          <w:p w14:paraId="474E399D" w14:textId="77777777" w:rsidR="003B3105" w:rsidRDefault="003B3105" w:rsidP="001E533B">
            <w:pPr>
              <w:rPr>
                <w:rFonts w:ascii="新細明體" w:eastAsia="新細明體" w:hAnsi="新細明體"/>
              </w:rPr>
            </w:pPr>
          </w:p>
        </w:tc>
        <w:tc>
          <w:tcPr>
            <w:tcW w:w="1276" w:type="dxa"/>
            <w:vMerge/>
          </w:tcPr>
          <w:p w14:paraId="1F050624" w14:textId="77777777" w:rsidR="003B3105" w:rsidRDefault="003B3105" w:rsidP="001E533B">
            <w:pPr>
              <w:rPr>
                <w:rFonts w:ascii="新細明體" w:eastAsia="新細明體" w:hAnsi="新細明體"/>
              </w:rPr>
            </w:pPr>
          </w:p>
        </w:tc>
        <w:tc>
          <w:tcPr>
            <w:tcW w:w="5386" w:type="dxa"/>
            <w:tcBorders>
              <w:top w:val="nil"/>
              <w:bottom w:val="nil"/>
            </w:tcBorders>
          </w:tcPr>
          <w:p w14:paraId="1EC95F3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(二)對客戶上月成交金額達伍仟萬元以上而買賣對帳單及詢證函未能送達或未函覆者，是否依規定查明原因並簽報總經理採取適當措施，且必要時得暫停接受其委託買賣有價證券。</w:t>
            </w:r>
          </w:p>
        </w:tc>
        <w:tc>
          <w:tcPr>
            <w:tcW w:w="5387" w:type="dxa"/>
            <w:tcBorders>
              <w:top w:val="nil"/>
              <w:bottom w:val="nil"/>
            </w:tcBorders>
          </w:tcPr>
          <w:p w14:paraId="2E563CB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(二)對客戶上月成交金額達伍仟萬元以上而買賣對帳單及詢證函未能送達或未函覆者，是否依規定查明原因並簽報總經理採取適當措施，且必要時得暫停接受其委託買賣有價證券。</w:t>
            </w:r>
          </w:p>
        </w:tc>
        <w:tc>
          <w:tcPr>
            <w:tcW w:w="2023" w:type="dxa"/>
            <w:vMerge/>
            <w:tcBorders>
              <w:right w:val="single" w:sz="12" w:space="0" w:color="auto"/>
            </w:tcBorders>
          </w:tcPr>
          <w:p w14:paraId="3D63DE6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5DE06C" w14:textId="77777777">
        <w:tc>
          <w:tcPr>
            <w:tcW w:w="1384" w:type="dxa"/>
            <w:vMerge/>
            <w:tcBorders>
              <w:left w:val="single" w:sz="12" w:space="0" w:color="auto"/>
            </w:tcBorders>
          </w:tcPr>
          <w:p w14:paraId="2B7ED307" w14:textId="77777777" w:rsidR="003B3105" w:rsidRDefault="003B3105" w:rsidP="001E533B">
            <w:pPr>
              <w:rPr>
                <w:rFonts w:ascii="新細明體" w:eastAsia="新細明體" w:hAnsi="新細明體"/>
              </w:rPr>
            </w:pPr>
          </w:p>
        </w:tc>
        <w:tc>
          <w:tcPr>
            <w:tcW w:w="1276" w:type="dxa"/>
            <w:vMerge/>
          </w:tcPr>
          <w:p w14:paraId="3B728AAF" w14:textId="77777777" w:rsidR="003B3105" w:rsidRDefault="003B3105" w:rsidP="001E533B">
            <w:pPr>
              <w:rPr>
                <w:rFonts w:ascii="新細明體" w:eastAsia="新細明體" w:hAnsi="新細明體"/>
              </w:rPr>
            </w:pPr>
          </w:p>
        </w:tc>
        <w:tc>
          <w:tcPr>
            <w:tcW w:w="5386" w:type="dxa"/>
            <w:tcBorders>
              <w:top w:val="nil"/>
              <w:bottom w:val="nil"/>
            </w:tcBorders>
          </w:tcPr>
          <w:p w14:paraId="343F3EE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受託買賣證券發生有適用券商公會自律規則第二十三條所定事由之情事，除適用該自律規則第二十三條第二項者外，是否採行該自律規則第二十四條規定之措施，加強其徵信及蒐集買賣交割等相關資料並作成查核報告存查。</w:t>
            </w:r>
          </w:p>
        </w:tc>
        <w:tc>
          <w:tcPr>
            <w:tcW w:w="5387" w:type="dxa"/>
            <w:tcBorders>
              <w:top w:val="nil"/>
              <w:bottom w:val="nil"/>
            </w:tcBorders>
          </w:tcPr>
          <w:p w14:paraId="795E04C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受託買賣證券發生有適用券商公會自律規則第二十三條所定事由之情事，除適用該自律規則第二十三條第二項者外，是否採行該自律規則第二十四條規定之措施，加強其徵信及蒐集買賣交割等相關資料並作成查核報告存查。</w:t>
            </w:r>
          </w:p>
        </w:tc>
        <w:tc>
          <w:tcPr>
            <w:tcW w:w="2023" w:type="dxa"/>
            <w:vMerge/>
            <w:tcBorders>
              <w:right w:val="single" w:sz="12" w:space="0" w:color="auto"/>
            </w:tcBorders>
          </w:tcPr>
          <w:p w14:paraId="26E947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7CAC9CF" w14:textId="77777777">
        <w:tc>
          <w:tcPr>
            <w:tcW w:w="1384" w:type="dxa"/>
            <w:vMerge/>
            <w:tcBorders>
              <w:left w:val="single" w:sz="12" w:space="0" w:color="auto"/>
            </w:tcBorders>
          </w:tcPr>
          <w:p w14:paraId="52776819" w14:textId="77777777" w:rsidR="003B3105" w:rsidRDefault="003B3105" w:rsidP="001E533B">
            <w:pPr>
              <w:rPr>
                <w:rFonts w:ascii="新細明體" w:eastAsia="新細明體" w:hAnsi="新細明體"/>
              </w:rPr>
            </w:pPr>
          </w:p>
        </w:tc>
        <w:tc>
          <w:tcPr>
            <w:tcW w:w="1276" w:type="dxa"/>
            <w:vMerge/>
          </w:tcPr>
          <w:p w14:paraId="49E17141" w14:textId="77777777" w:rsidR="003B3105" w:rsidRDefault="003B3105" w:rsidP="001E533B">
            <w:pPr>
              <w:rPr>
                <w:rFonts w:ascii="新細明體" w:eastAsia="新細明體" w:hAnsi="新細明體"/>
              </w:rPr>
            </w:pPr>
          </w:p>
        </w:tc>
        <w:tc>
          <w:tcPr>
            <w:tcW w:w="5386" w:type="dxa"/>
            <w:tcBorders>
              <w:top w:val="nil"/>
              <w:bottom w:val="nil"/>
            </w:tcBorders>
          </w:tcPr>
          <w:p w14:paraId="68C2B33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(四)每日收盤後，若有發生客戶更改交易類別之情事，是否填具「委託人更改交易類別明細表」送請權責主管核准，並依證交所「證券商辦理更改交易類別作業處理要點」規定辦理。</w:t>
            </w:r>
          </w:p>
        </w:tc>
        <w:tc>
          <w:tcPr>
            <w:tcW w:w="5387" w:type="dxa"/>
            <w:tcBorders>
              <w:top w:val="nil"/>
              <w:bottom w:val="nil"/>
            </w:tcBorders>
          </w:tcPr>
          <w:p w14:paraId="10620E5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(四)每日收盤後，若有發生客戶更改交易類別之情事，是否填具「委託人更改交易類別明細表」送請權責主管核准，並依證交所「證券商辦理更改交易類別作業處理要點」規定辦理。</w:t>
            </w:r>
          </w:p>
        </w:tc>
        <w:tc>
          <w:tcPr>
            <w:tcW w:w="2023" w:type="dxa"/>
            <w:vMerge/>
            <w:tcBorders>
              <w:right w:val="single" w:sz="12" w:space="0" w:color="auto"/>
            </w:tcBorders>
          </w:tcPr>
          <w:p w14:paraId="1CCCCC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AEDDAF9" w14:textId="77777777">
        <w:tc>
          <w:tcPr>
            <w:tcW w:w="1384" w:type="dxa"/>
            <w:vMerge/>
            <w:tcBorders>
              <w:left w:val="single" w:sz="12" w:space="0" w:color="auto"/>
            </w:tcBorders>
          </w:tcPr>
          <w:p w14:paraId="39ACF918" w14:textId="77777777" w:rsidR="003B3105" w:rsidRDefault="003B3105" w:rsidP="001E533B">
            <w:pPr>
              <w:rPr>
                <w:rFonts w:ascii="新細明體" w:eastAsia="新細明體" w:hAnsi="新細明體"/>
              </w:rPr>
            </w:pPr>
          </w:p>
        </w:tc>
        <w:tc>
          <w:tcPr>
            <w:tcW w:w="1276" w:type="dxa"/>
            <w:vMerge/>
          </w:tcPr>
          <w:p w14:paraId="3BDCE0F7" w14:textId="77777777" w:rsidR="003B3105" w:rsidRDefault="003B3105" w:rsidP="001E533B">
            <w:pPr>
              <w:rPr>
                <w:rFonts w:ascii="新細明體" w:eastAsia="新細明體" w:hAnsi="新細明體"/>
              </w:rPr>
            </w:pPr>
          </w:p>
        </w:tc>
        <w:tc>
          <w:tcPr>
            <w:tcW w:w="5386" w:type="dxa"/>
            <w:tcBorders>
              <w:top w:val="nil"/>
              <w:bottom w:val="nil"/>
            </w:tcBorders>
          </w:tcPr>
          <w:p w14:paraId="23AF360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(五)接受客戶委託買賣，除客戶已提供適當擔保外，客戶委託買賣金額是否未逾越所評估之單日買賣最高額度。</w:t>
            </w:r>
          </w:p>
        </w:tc>
        <w:tc>
          <w:tcPr>
            <w:tcW w:w="5387" w:type="dxa"/>
            <w:tcBorders>
              <w:top w:val="nil"/>
              <w:bottom w:val="nil"/>
            </w:tcBorders>
          </w:tcPr>
          <w:p w14:paraId="13B788C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(五)接受客戶委託買賣，除客戶已提供適當擔保外，客戶委託買賣金額是否未逾越所評估之單日買賣最高額度。</w:t>
            </w:r>
          </w:p>
        </w:tc>
        <w:tc>
          <w:tcPr>
            <w:tcW w:w="2023" w:type="dxa"/>
            <w:vMerge/>
            <w:tcBorders>
              <w:right w:val="single" w:sz="12" w:space="0" w:color="auto"/>
            </w:tcBorders>
          </w:tcPr>
          <w:p w14:paraId="0306E7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775191F" w14:textId="77777777">
        <w:tc>
          <w:tcPr>
            <w:tcW w:w="1384" w:type="dxa"/>
            <w:vMerge/>
            <w:tcBorders>
              <w:left w:val="single" w:sz="12" w:space="0" w:color="auto"/>
            </w:tcBorders>
          </w:tcPr>
          <w:p w14:paraId="51F658A0" w14:textId="77777777" w:rsidR="003B3105" w:rsidRDefault="003B3105" w:rsidP="001E533B">
            <w:pPr>
              <w:rPr>
                <w:rFonts w:ascii="新細明體" w:eastAsia="新細明體" w:hAnsi="新細明體"/>
              </w:rPr>
            </w:pPr>
          </w:p>
        </w:tc>
        <w:tc>
          <w:tcPr>
            <w:tcW w:w="1276" w:type="dxa"/>
            <w:vMerge/>
          </w:tcPr>
          <w:p w14:paraId="72B2DE9E" w14:textId="77777777" w:rsidR="003B3105" w:rsidRDefault="003B3105" w:rsidP="001E533B">
            <w:pPr>
              <w:rPr>
                <w:rFonts w:ascii="新細明體" w:eastAsia="新細明體" w:hAnsi="新細明體"/>
              </w:rPr>
            </w:pPr>
          </w:p>
        </w:tc>
        <w:tc>
          <w:tcPr>
            <w:tcW w:w="5386" w:type="dxa"/>
            <w:tcBorders>
              <w:top w:val="nil"/>
              <w:bottom w:val="nil"/>
            </w:tcBorders>
          </w:tcPr>
          <w:p w14:paraId="5313543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(六)對各級委託買賣金額之分層負責及確認紀錄是否依照公司內部控制制度規定辦理。</w:t>
            </w:r>
          </w:p>
        </w:tc>
        <w:tc>
          <w:tcPr>
            <w:tcW w:w="5387" w:type="dxa"/>
            <w:tcBorders>
              <w:top w:val="nil"/>
              <w:bottom w:val="nil"/>
            </w:tcBorders>
          </w:tcPr>
          <w:p w14:paraId="27920BA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(六)對各級委託買賣金額之分層負責及確認紀錄是否依照公司內部控制制度規定辦理。</w:t>
            </w:r>
          </w:p>
        </w:tc>
        <w:tc>
          <w:tcPr>
            <w:tcW w:w="2023" w:type="dxa"/>
            <w:vMerge/>
            <w:tcBorders>
              <w:right w:val="single" w:sz="12" w:space="0" w:color="auto"/>
            </w:tcBorders>
          </w:tcPr>
          <w:p w14:paraId="28D611C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8AE07A" w14:textId="77777777">
        <w:tc>
          <w:tcPr>
            <w:tcW w:w="1384" w:type="dxa"/>
            <w:vMerge/>
            <w:tcBorders>
              <w:left w:val="single" w:sz="12" w:space="0" w:color="auto"/>
            </w:tcBorders>
          </w:tcPr>
          <w:p w14:paraId="22519095" w14:textId="77777777" w:rsidR="003B3105" w:rsidRDefault="003B3105" w:rsidP="001E533B">
            <w:pPr>
              <w:rPr>
                <w:rFonts w:ascii="新細明體" w:eastAsia="新細明體" w:hAnsi="新細明體"/>
              </w:rPr>
            </w:pPr>
          </w:p>
        </w:tc>
        <w:tc>
          <w:tcPr>
            <w:tcW w:w="1276" w:type="dxa"/>
            <w:vMerge/>
          </w:tcPr>
          <w:p w14:paraId="2E246132" w14:textId="77777777" w:rsidR="003B3105" w:rsidRDefault="003B3105" w:rsidP="001E533B">
            <w:pPr>
              <w:rPr>
                <w:rFonts w:ascii="新細明體" w:eastAsia="新細明體" w:hAnsi="新細明體"/>
              </w:rPr>
            </w:pPr>
          </w:p>
        </w:tc>
        <w:tc>
          <w:tcPr>
            <w:tcW w:w="5386" w:type="dxa"/>
            <w:tcBorders>
              <w:top w:val="nil"/>
              <w:bottom w:val="nil"/>
            </w:tcBorders>
          </w:tcPr>
          <w:p w14:paraId="44B1966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(七)(刪除)</w:t>
            </w:r>
          </w:p>
        </w:tc>
        <w:tc>
          <w:tcPr>
            <w:tcW w:w="5387" w:type="dxa"/>
            <w:tcBorders>
              <w:top w:val="nil"/>
              <w:bottom w:val="nil"/>
            </w:tcBorders>
          </w:tcPr>
          <w:p w14:paraId="6BE4B69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(七)(刪除)</w:t>
            </w:r>
          </w:p>
        </w:tc>
        <w:tc>
          <w:tcPr>
            <w:tcW w:w="2023" w:type="dxa"/>
            <w:vMerge/>
            <w:tcBorders>
              <w:right w:val="single" w:sz="12" w:space="0" w:color="auto"/>
            </w:tcBorders>
          </w:tcPr>
          <w:p w14:paraId="403D239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367F231" w14:textId="77777777">
        <w:tc>
          <w:tcPr>
            <w:tcW w:w="1384" w:type="dxa"/>
            <w:vMerge/>
            <w:tcBorders>
              <w:left w:val="single" w:sz="12" w:space="0" w:color="auto"/>
            </w:tcBorders>
          </w:tcPr>
          <w:p w14:paraId="5ED25786" w14:textId="77777777" w:rsidR="003B3105" w:rsidRDefault="003B3105" w:rsidP="001E533B">
            <w:pPr>
              <w:rPr>
                <w:rFonts w:ascii="新細明體" w:eastAsia="新細明體" w:hAnsi="新細明體"/>
              </w:rPr>
            </w:pPr>
          </w:p>
        </w:tc>
        <w:tc>
          <w:tcPr>
            <w:tcW w:w="1276" w:type="dxa"/>
            <w:vMerge/>
          </w:tcPr>
          <w:p w14:paraId="46749A27" w14:textId="77777777" w:rsidR="003B3105" w:rsidRDefault="003B3105" w:rsidP="001E533B">
            <w:pPr>
              <w:rPr>
                <w:rFonts w:ascii="新細明體" w:eastAsia="新細明體" w:hAnsi="新細明體"/>
              </w:rPr>
            </w:pPr>
          </w:p>
        </w:tc>
        <w:tc>
          <w:tcPr>
            <w:tcW w:w="5386" w:type="dxa"/>
            <w:tcBorders>
              <w:top w:val="nil"/>
              <w:bottom w:val="nil"/>
            </w:tcBorders>
          </w:tcPr>
          <w:p w14:paraId="024AA84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(八)營業櫃檯及交易室管制：</w:t>
            </w:r>
          </w:p>
        </w:tc>
        <w:tc>
          <w:tcPr>
            <w:tcW w:w="5387" w:type="dxa"/>
            <w:tcBorders>
              <w:top w:val="nil"/>
              <w:bottom w:val="nil"/>
            </w:tcBorders>
          </w:tcPr>
          <w:p w14:paraId="05268B0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(八)營業櫃檯及交易室管制：</w:t>
            </w:r>
          </w:p>
        </w:tc>
        <w:tc>
          <w:tcPr>
            <w:tcW w:w="2023" w:type="dxa"/>
            <w:vMerge/>
            <w:tcBorders>
              <w:right w:val="single" w:sz="12" w:space="0" w:color="auto"/>
            </w:tcBorders>
          </w:tcPr>
          <w:p w14:paraId="32B0603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ADC88F" w14:textId="77777777">
        <w:tc>
          <w:tcPr>
            <w:tcW w:w="1384" w:type="dxa"/>
            <w:vMerge/>
            <w:tcBorders>
              <w:left w:val="single" w:sz="12" w:space="0" w:color="auto"/>
            </w:tcBorders>
          </w:tcPr>
          <w:p w14:paraId="35C312B0" w14:textId="77777777" w:rsidR="003B3105" w:rsidRDefault="003B3105" w:rsidP="001E533B">
            <w:pPr>
              <w:rPr>
                <w:rFonts w:ascii="新細明體" w:eastAsia="新細明體" w:hAnsi="新細明體"/>
              </w:rPr>
            </w:pPr>
          </w:p>
        </w:tc>
        <w:tc>
          <w:tcPr>
            <w:tcW w:w="1276" w:type="dxa"/>
            <w:vMerge/>
          </w:tcPr>
          <w:p w14:paraId="17B0B3B5" w14:textId="77777777" w:rsidR="003B3105" w:rsidRDefault="003B3105" w:rsidP="001E533B">
            <w:pPr>
              <w:rPr>
                <w:rFonts w:ascii="新細明體" w:eastAsia="新細明體" w:hAnsi="新細明體"/>
              </w:rPr>
            </w:pPr>
          </w:p>
        </w:tc>
        <w:tc>
          <w:tcPr>
            <w:tcW w:w="5386" w:type="dxa"/>
            <w:tcBorders>
              <w:top w:val="nil"/>
              <w:bottom w:val="nil"/>
            </w:tcBorders>
          </w:tcPr>
          <w:p w14:paraId="70EAE6B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1.營業時間內除董事長、總經理、營業部門經理、分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經理、登記合格之辦理受託買賣有價證券及申報(電腦操作)業務之人員、內部稽核人員、法令遵循人員及營業櫃檯事務員外，其他閒雜人員是否無進入營業櫃檯、交易室。</w:t>
            </w:r>
          </w:p>
        </w:tc>
        <w:tc>
          <w:tcPr>
            <w:tcW w:w="5387" w:type="dxa"/>
            <w:tcBorders>
              <w:top w:val="nil"/>
              <w:bottom w:val="nil"/>
            </w:tcBorders>
          </w:tcPr>
          <w:p w14:paraId="7EA2E58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1.營業時間內除董事長、總經理、營業部門經理、分</w:t>
            </w:r>
            <w:r>
              <w:rPr>
                <w:rFonts w:ascii="新細明體" w:eastAsia="新細明體" w:hAnsi="新細明體" w:cs="新細明體" w:hint="eastAsia"/>
                <w:b/>
                <w:color w:val="FF0000"/>
              </w:rPr>
              <w:t>公司</w:t>
            </w:r>
            <w:r>
              <w:rPr>
                <w:rFonts w:ascii="新細明體" w:eastAsia="新細明體" w:hAnsi="新細明體" w:cs="新細明體" w:hint="eastAsia"/>
              </w:rPr>
              <w:t>經理、登記合格之辦理受託買賣有價證券及申報(電腦操作)業務之人員、內部稽核人員、法令遵循人員及營業櫃檯事務員外，其他閒雜人員是否無進入營業櫃檯、交易室。</w:t>
            </w:r>
          </w:p>
        </w:tc>
        <w:tc>
          <w:tcPr>
            <w:tcW w:w="2023" w:type="dxa"/>
            <w:vMerge/>
            <w:tcBorders>
              <w:right w:val="single" w:sz="12" w:space="0" w:color="auto"/>
            </w:tcBorders>
          </w:tcPr>
          <w:p w14:paraId="4A4B88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FA0C3C" w14:textId="77777777">
        <w:tc>
          <w:tcPr>
            <w:tcW w:w="1384" w:type="dxa"/>
            <w:vMerge/>
            <w:tcBorders>
              <w:left w:val="single" w:sz="12" w:space="0" w:color="auto"/>
            </w:tcBorders>
          </w:tcPr>
          <w:p w14:paraId="7BF3FE3F" w14:textId="77777777" w:rsidR="003B3105" w:rsidRDefault="003B3105" w:rsidP="001E533B">
            <w:pPr>
              <w:rPr>
                <w:rFonts w:ascii="新細明體" w:eastAsia="新細明體" w:hAnsi="新細明體"/>
              </w:rPr>
            </w:pPr>
          </w:p>
        </w:tc>
        <w:tc>
          <w:tcPr>
            <w:tcW w:w="1276" w:type="dxa"/>
            <w:vMerge/>
          </w:tcPr>
          <w:p w14:paraId="5A6DB118" w14:textId="77777777" w:rsidR="003B3105" w:rsidRDefault="003B3105" w:rsidP="001E533B">
            <w:pPr>
              <w:rPr>
                <w:rFonts w:ascii="新細明體" w:eastAsia="新細明體" w:hAnsi="新細明體"/>
              </w:rPr>
            </w:pPr>
          </w:p>
        </w:tc>
        <w:tc>
          <w:tcPr>
            <w:tcW w:w="5386" w:type="dxa"/>
            <w:tcBorders>
              <w:top w:val="nil"/>
              <w:bottom w:val="nil"/>
            </w:tcBorders>
          </w:tcPr>
          <w:p w14:paraId="3D2FC97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2.業務人員及事務員執行職務時是否配帶登記證。</w:t>
            </w:r>
          </w:p>
        </w:tc>
        <w:tc>
          <w:tcPr>
            <w:tcW w:w="5387" w:type="dxa"/>
            <w:tcBorders>
              <w:top w:val="nil"/>
              <w:bottom w:val="nil"/>
            </w:tcBorders>
          </w:tcPr>
          <w:p w14:paraId="6D50118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2.業務人員及事務員執行職務時是否配帶登記證。</w:t>
            </w:r>
          </w:p>
        </w:tc>
        <w:tc>
          <w:tcPr>
            <w:tcW w:w="2023" w:type="dxa"/>
            <w:vMerge/>
            <w:tcBorders>
              <w:right w:val="single" w:sz="12" w:space="0" w:color="auto"/>
            </w:tcBorders>
          </w:tcPr>
          <w:p w14:paraId="33BE20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FAF469" w14:textId="77777777">
        <w:tc>
          <w:tcPr>
            <w:tcW w:w="1384" w:type="dxa"/>
            <w:vMerge/>
            <w:tcBorders>
              <w:left w:val="single" w:sz="12" w:space="0" w:color="auto"/>
            </w:tcBorders>
          </w:tcPr>
          <w:p w14:paraId="56B42805" w14:textId="77777777" w:rsidR="003B3105" w:rsidRDefault="003B3105" w:rsidP="001E533B">
            <w:pPr>
              <w:rPr>
                <w:rFonts w:ascii="新細明體" w:eastAsia="新細明體" w:hAnsi="新細明體"/>
              </w:rPr>
            </w:pPr>
          </w:p>
        </w:tc>
        <w:tc>
          <w:tcPr>
            <w:tcW w:w="1276" w:type="dxa"/>
            <w:vMerge/>
          </w:tcPr>
          <w:p w14:paraId="587039EE" w14:textId="77777777" w:rsidR="003B3105" w:rsidRDefault="003B3105" w:rsidP="001E533B">
            <w:pPr>
              <w:rPr>
                <w:rFonts w:ascii="新細明體" w:eastAsia="新細明體" w:hAnsi="新細明體"/>
              </w:rPr>
            </w:pPr>
          </w:p>
        </w:tc>
        <w:tc>
          <w:tcPr>
            <w:tcW w:w="5386" w:type="dxa"/>
            <w:tcBorders>
              <w:top w:val="nil"/>
              <w:bottom w:val="nil"/>
            </w:tcBorders>
          </w:tcPr>
          <w:p w14:paraId="646B51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3.是否無未經登記合格之營業員接受委託買賣證券。</w:t>
            </w:r>
          </w:p>
        </w:tc>
        <w:tc>
          <w:tcPr>
            <w:tcW w:w="5387" w:type="dxa"/>
            <w:tcBorders>
              <w:top w:val="nil"/>
              <w:bottom w:val="nil"/>
            </w:tcBorders>
          </w:tcPr>
          <w:p w14:paraId="042E065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3.是否無未經登記合格之營業員接受委託買賣證券。</w:t>
            </w:r>
          </w:p>
        </w:tc>
        <w:tc>
          <w:tcPr>
            <w:tcW w:w="2023" w:type="dxa"/>
            <w:vMerge/>
            <w:tcBorders>
              <w:right w:val="single" w:sz="12" w:space="0" w:color="auto"/>
            </w:tcBorders>
          </w:tcPr>
          <w:p w14:paraId="74B6A59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B679A5" w14:textId="77777777">
        <w:tc>
          <w:tcPr>
            <w:tcW w:w="1384" w:type="dxa"/>
            <w:vMerge/>
            <w:tcBorders>
              <w:left w:val="single" w:sz="12" w:space="0" w:color="auto"/>
            </w:tcBorders>
          </w:tcPr>
          <w:p w14:paraId="3F7F2B4C" w14:textId="77777777" w:rsidR="003B3105" w:rsidRDefault="003B3105" w:rsidP="001E533B">
            <w:pPr>
              <w:rPr>
                <w:rFonts w:ascii="新細明體" w:eastAsia="新細明體" w:hAnsi="新細明體"/>
              </w:rPr>
            </w:pPr>
          </w:p>
        </w:tc>
        <w:tc>
          <w:tcPr>
            <w:tcW w:w="1276" w:type="dxa"/>
            <w:vMerge/>
          </w:tcPr>
          <w:p w14:paraId="0CACE392" w14:textId="77777777" w:rsidR="003B3105" w:rsidRDefault="003B3105" w:rsidP="001E533B">
            <w:pPr>
              <w:rPr>
                <w:rFonts w:ascii="新細明體" w:eastAsia="新細明體" w:hAnsi="新細明體"/>
              </w:rPr>
            </w:pPr>
          </w:p>
        </w:tc>
        <w:tc>
          <w:tcPr>
            <w:tcW w:w="5386" w:type="dxa"/>
            <w:tcBorders>
              <w:top w:val="nil"/>
              <w:bottom w:val="nil"/>
            </w:tcBorders>
          </w:tcPr>
          <w:p w14:paraId="5FA30D2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4.內部稽核人員及法令遵循人員進入營業櫃檯、交易室，是否簽署避免利益衝突聲明書並提出進入申請且經權責主管核可後方得進入，相關紀錄是否至少保存五年。</w:t>
            </w:r>
          </w:p>
        </w:tc>
        <w:tc>
          <w:tcPr>
            <w:tcW w:w="5387" w:type="dxa"/>
            <w:tcBorders>
              <w:top w:val="nil"/>
              <w:bottom w:val="nil"/>
            </w:tcBorders>
          </w:tcPr>
          <w:p w14:paraId="0D3CD5C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4.內部稽核人員及法令遵循人員進入營業櫃檯、交易室，是否簽署避免利益衝突聲明書並提出進入申請且經權責主管核可後方得進入，相關紀錄是否至少保存五年。</w:t>
            </w:r>
          </w:p>
        </w:tc>
        <w:tc>
          <w:tcPr>
            <w:tcW w:w="2023" w:type="dxa"/>
            <w:vMerge/>
            <w:tcBorders>
              <w:right w:val="single" w:sz="12" w:space="0" w:color="auto"/>
            </w:tcBorders>
          </w:tcPr>
          <w:p w14:paraId="71E225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860CCE" w14:textId="77777777">
        <w:tc>
          <w:tcPr>
            <w:tcW w:w="1384" w:type="dxa"/>
            <w:vMerge/>
            <w:tcBorders>
              <w:left w:val="single" w:sz="12" w:space="0" w:color="auto"/>
            </w:tcBorders>
          </w:tcPr>
          <w:p w14:paraId="726553BA" w14:textId="77777777" w:rsidR="003B3105" w:rsidRDefault="003B3105" w:rsidP="001E533B">
            <w:pPr>
              <w:rPr>
                <w:rFonts w:ascii="新細明體" w:eastAsia="新細明體" w:hAnsi="新細明體"/>
              </w:rPr>
            </w:pPr>
          </w:p>
        </w:tc>
        <w:tc>
          <w:tcPr>
            <w:tcW w:w="1276" w:type="dxa"/>
            <w:vMerge/>
          </w:tcPr>
          <w:p w14:paraId="344A0DE4" w14:textId="77777777" w:rsidR="003B3105" w:rsidRDefault="003B3105" w:rsidP="001E533B">
            <w:pPr>
              <w:rPr>
                <w:rFonts w:ascii="新細明體" w:eastAsia="新細明體" w:hAnsi="新細明體"/>
              </w:rPr>
            </w:pPr>
          </w:p>
        </w:tc>
        <w:tc>
          <w:tcPr>
            <w:tcW w:w="5386" w:type="dxa"/>
            <w:tcBorders>
              <w:top w:val="nil"/>
              <w:bottom w:val="nil"/>
            </w:tcBorders>
          </w:tcPr>
          <w:p w14:paraId="1803BF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5.董事長、總經理及分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經理是否因業務需要方得進入營業櫃檯、交易室，進入時是否登記及載明進入事由，進出紀錄是否至少保存五年。</w:t>
            </w:r>
          </w:p>
        </w:tc>
        <w:tc>
          <w:tcPr>
            <w:tcW w:w="5387" w:type="dxa"/>
            <w:tcBorders>
              <w:top w:val="nil"/>
              <w:bottom w:val="nil"/>
            </w:tcBorders>
          </w:tcPr>
          <w:p w14:paraId="62D517B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5.董事長、總經理及分</w:t>
            </w:r>
            <w:r>
              <w:rPr>
                <w:rFonts w:ascii="新細明體" w:eastAsia="新細明體" w:hAnsi="新細明體" w:cs="新細明體" w:hint="eastAsia"/>
                <w:b/>
                <w:color w:val="FF0000"/>
              </w:rPr>
              <w:t>公司</w:t>
            </w:r>
            <w:r>
              <w:rPr>
                <w:rFonts w:ascii="新細明體" w:eastAsia="新細明體" w:hAnsi="新細明體" w:cs="新細明體" w:hint="eastAsia"/>
              </w:rPr>
              <w:t>經理是否因業務需要方得進入營業櫃檯、交易室，進入時是否登記及載明進入事由，進出紀錄是否至少保存五年。</w:t>
            </w:r>
          </w:p>
        </w:tc>
        <w:tc>
          <w:tcPr>
            <w:tcW w:w="2023" w:type="dxa"/>
            <w:vMerge/>
            <w:tcBorders>
              <w:right w:val="single" w:sz="12" w:space="0" w:color="auto"/>
            </w:tcBorders>
          </w:tcPr>
          <w:p w14:paraId="23FAA48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A2AEE0" w14:textId="77777777">
        <w:tc>
          <w:tcPr>
            <w:tcW w:w="1384" w:type="dxa"/>
            <w:vMerge/>
            <w:tcBorders>
              <w:left w:val="single" w:sz="12" w:space="0" w:color="auto"/>
            </w:tcBorders>
          </w:tcPr>
          <w:p w14:paraId="6EA62528" w14:textId="77777777" w:rsidR="003B3105" w:rsidRDefault="003B3105" w:rsidP="001E533B">
            <w:pPr>
              <w:rPr>
                <w:rFonts w:ascii="新細明體" w:eastAsia="新細明體" w:hAnsi="新細明體"/>
              </w:rPr>
            </w:pPr>
          </w:p>
        </w:tc>
        <w:tc>
          <w:tcPr>
            <w:tcW w:w="1276" w:type="dxa"/>
            <w:vMerge/>
          </w:tcPr>
          <w:p w14:paraId="76EC6611" w14:textId="77777777" w:rsidR="003B3105" w:rsidRDefault="003B3105" w:rsidP="001E533B">
            <w:pPr>
              <w:rPr>
                <w:rFonts w:ascii="新細明體" w:eastAsia="新細明體" w:hAnsi="新細明體"/>
              </w:rPr>
            </w:pPr>
          </w:p>
        </w:tc>
        <w:tc>
          <w:tcPr>
            <w:tcW w:w="5386" w:type="dxa"/>
            <w:tcBorders>
              <w:top w:val="nil"/>
              <w:bottom w:val="nil"/>
            </w:tcBorders>
          </w:tcPr>
          <w:p w14:paraId="661481C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(九)受託買賣流程：</w:t>
            </w:r>
          </w:p>
        </w:tc>
        <w:tc>
          <w:tcPr>
            <w:tcW w:w="5387" w:type="dxa"/>
            <w:tcBorders>
              <w:top w:val="nil"/>
              <w:bottom w:val="nil"/>
            </w:tcBorders>
          </w:tcPr>
          <w:p w14:paraId="3BC4776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(九)受託買賣流程：</w:t>
            </w:r>
          </w:p>
        </w:tc>
        <w:tc>
          <w:tcPr>
            <w:tcW w:w="2023" w:type="dxa"/>
            <w:vMerge/>
            <w:tcBorders>
              <w:right w:val="single" w:sz="12" w:space="0" w:color="auto"/>
            </w:tcBorders>
          </w:tcPr>
          <w:p w14:paraId="7B2593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88522E" w14:textId="77777777">
        <w:tc>
          <w:tcPr>
            <w:tcW w:w="1384" w:type="dxa"/>
            <w:vMerge/>
            <w:tcBorders>
              <w:left w:val="single" w:sz="12" w:space="0" w:color="auto"/>
            </w:tcBorders>
          </w:tcPr>
          <w:p w14:paraId="5B1BBE23" w14:textId="77777777" w:rsidR="003B3105" w:rsidRDefault="003B3105" w:rsidP="001E533B">
            <w:pPr>
              <w:rPr>
                <w:rFonts w:ascii="新細明體" w:eastAsia="新細明體" w:hAnsi="新細明體"/>
              </w:rPr>
            </w:pPr>
          </w:p>
        </w:tc>
        <w:tc>
          <w:tcPr>
            <w:tcW w:w="1276" w:type="dxa"/>
            <w:vMerge/>
          </w:tcPr>
          <w:p w14:paraId="525A1ACF" w14:textId="77777777" w:rsidR="003B3105" w:rsidRDefault="003B3105" w:rsidP="001E533B">
            <w:pPr>
              <w:rPr>
                <w:rFonts w:ascii="新細明體" w:eastAsia="新細明體" w:hAnsi="新細明體"/>
              </w:rPr>
            </w:pPr>
          </w:p>
        </w:tc>
        <w:tc>
          <w:tcPr>
            <w:tcW w:w="5386" w:type="dxa"/>
            <w:tcBorders>
              <w:top w:val="nil"/>
              <w:bottom w:val="nil"/>
            </w:tcBorders>
          </w:tcPr>
          <w:p w14:paraId="65C345B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1.客戶當面委託是否自行填寫委託書並簽章，交付營業員核對填寫內容與簽章無誤後依序編號及打印日期、時間，再由終端機操作人員輸入電腦。</w:t>
            </w:r>
          </w:p>
        </w:tc>
        <w:tc>
          <w:tcPr>
            <w:tcW w:w="5387" w:type="dxa"/>
            <w:tcBorders>
              <w:top w:val="nil"/>
              <w:bottom w:val="nil"/>
            </w:tcBorders>
          </w:tcPr>
          <w:p w14:paraId="0F56B1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1.客戶當面委託是否自行填寫委託書並簽章，交付營業員核對填寫內容與簽章無誤後依序編號及打印日期、時間，再由終端機操作人員輸入電腦。</w:t>
            </w:r>
          </w:p>
        </w:tc>
        <w:tc>
          <w:tcPr>
            <w:tcW w:w="2023" w:type="dxa"/>
            <w:vMerge/>
            <w:tcBorders>
              <w:right w:val="single" w:sz="12" w:space="0" w:color="auto"/>
            </w:tcBorders>
          </w:tcPr>
          <w:p w14:paraId="0BF11A3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E75F4DE" w14:textId="77777777">
        <w:tc>
          <w:tcPr>
            <w:tcW w:w="1384" w:type="dxa"/>
            <w:vMerge/>
            <w:tcBorders>
              <w:left w:val="single" w:sz="12" w:space="0" w:color="auto"/>
            </w:tcBorders>
          </w:tcPr>
          <w:p w14:paraId="77C57524" w14:textId="77777777" w:rsidR="003B3105" w:rsidRDefault="003B3105" w:rsidP="001E533B">
            <w:pPr>
              <w:rPr>
                <w:rFonts w:ascii="新細明體" w:eastAsia="新細明體" w:hAnsi="新細明體"/>
              </w:rPr>
            </w:pPr>
          </w:p>
        </w:tc>
        <w:tc>
          <w:tcPr>
            <w:tcW w:w="1276" w:type="dxa"/>
            <w:vMerge/>
          </w:tcPr>
          <w:p w14:paraId="6D2BDC63" w14:textId="77777777" w:rsidR="003B3105" w:rsidRDefault="003B3105" w:rsidP="001E533B">
            <w:pPr>
              <w:rPr>
                <w:rFonts w:ascii="新細明體" w:eastAsia="新細明體" w:hAnsi="新細明體"/>
              </w:rPr>
            </w:pPr>
          </w:p>
        </w:tc>
        <w:tc>
          <w:tcPr>
            <w:tcW w:w="5386" w:type="dxa"/>
            <w:tcBorders>
              <w:top w:val="nil"/>
              <w:bottom w:val="nil"/>
            </w:tcBorders>
          </w:tcPr>
          <w:p w14:paraId="46B2BAF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2.以電話、電報、書信或其他經證交所或櫃檯買中心同意之方式（如傳真，或公司得接受專業機構投資人透過資訊公司﹝例如Bloomberg L.P.、Fidessa plc、Sungard、Instinet Pacific Services Limited、Thomson Reuters、ITG...等﹞所提供之系統傳遞委託買賣有價證券內容或指令，公司與客戶應確保資訊平台之交易安全性與資料保存之完整性）委託者，是否由營業員負責填、印製委託書並簽章後，依序編號及打印時間，再由終端機操作人員輸入電腦，於成交後交割時請客戶簽章(客戶簽具委託人交割款券轉撥同意書除外)。除電話委託外，應將函電、傳真或相關文件附於委託書後備查。公司設立集中接單中心，受理客戶以電話、書信、電報或其他經證交所同意之方式委託買賣有價證券者，是否依證交所106年8月24日臺證輔字第1060015757號函辦理。</w:t>
            </w:r>
          </w:p>
        </w:tc>
        <w:tc>
          <w:tcPr>
            <w:tcW w:w="5387" w:type="dxa"/>
            <w:tcBorders>
              <w:top w:val="nil"/>
              <w:bottom w:val="nil"/>
            </w:tcBorders>
          </w:tcPr>
          <w:p w14:paraId="51BBC9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2.以電話、電報、書信或其他經證交所或櫃檯買中心同意之方式（如傳真，或公司得接受專業機構投資人透過資訊公司﹝例如Bloomberg L.P.、Fidessa plc、Sungard、Instinet Pacific Services Limited、Thomson Reuters、ITG...等﹞所提供之系統傳遞委託買賣有價證券內容或指令，公司與客戶應確保資訊平台之交易安全性與資料保存之完整性）委託者，是否由營業員負責填、印製委託書並簽章後，依序編號及打印時間，再由終端機操作人員輸入電腦，於成交後交割時請客戶簽章(客戶簽具委託人交割款券轉撥同意書除外)。除電話委託外，應將函電、傳真或相關文件附於委託書後備查。公司設立集中接單中心，受理客戶以電話、書信、電報或其他經證交所同意之方式委託買賣有價證券者，是否依證交所106年8月24日臺證輔字第1060015757號函辦理。</w:t>
            </w:r>
          </w:p>
        </w:tc>
        <w:tc>
          <w:tcPr>
            <w:tcW w:w="2023" w:type="dxa"/>
            <w:vMerge/>
            <w:tcBorders>
              <w:right w:val="single" w:sz="12" w:space="0" w:color="auto"/>
            </w:tcBorders>
          </w:tcPr>
          <w:p w14:paraId="2C38EA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7B9E3D6" w14:textId="77777777">
        <w:tc>
          <w:tcPr>
            <w:tcW w:w="1384" w:type="dxa"/>
            <w:vMerge/>
            <w:tcBorders>
              <w:left w:val="single" w:sz="12" w:space="0" w:color="auto"/>
            </w:tcBorders>
          </w:tcPr>
          <w:p w14:paraId="2E3FAD95" w14:textId="77777777" w:rsidR="003B3105" w:rsidRDefault="003B3105" w:rsidP="001E533B">
            <w:pPr>
              <w:rPr>
                <w:rFonts w:ascii="新細明體" w:eastAsia="新細明體" w:hAnsi="新細明體"/>
              </w:rPr>
            </w:pPr>
          </w:p>
        </w:tc>
        <w:tc>
          <w:tcPr>
            <w:tcW w:w="1276" w:type="dxa"/>
            <w:vMerge/>
          </w:tcPr>
          <w:p w14:paraId="5BF30B2A" w14:textId="77777777" w:rsidR="003B3105" w:rsidRDefault="003B3105" w:rsidP="001E533B">
            <w:pPr>
              <w:rPr>
                <w:rFonts w:ascii="新細明體" w:eastAsia="新細明體" w:hAnsi="新細明體"/>
              </w:rPr>
            </w:pPr>
          </w:p>
        </w:tc>
        <w:tc>
          <w:tcPr>
            <w:tcW w:w="5386" w:type="dxa"/>
            <w:tcBorders>
              <w:top w:val="nil"/>
              <w:bottom w:val="nil"/>
            </w:tcBorders>
          </w:tcPr>
          <w:p w14:paraId="160022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3.委託書上應填寫之內容(客戶帳號，證券名稱、數量、價格、委託方式及保管方式等)是否完整。</w:t>
            </w:r>
          </w:p>
        </w:tc>
        <w:tc>
          <w:tcPr>
            <w:tcW w:w="5387" w:type="dxa"/>
            <w:tcBorders>
              <w:top w:val="nil"/>
              <w:bottom w:val="nil"/>
            </w:tcBorders>
          </w:tcPr>
          <w:p w14:paraId="1E39477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3.委託書上應填寫之內容(客戶帳號，證券名稱、數量、價格、委託方式及保管方式等)是否完整。</w:t>
            </w:r>
          </w:p>
        </w:tc>
        <w:tc>
          <w:tcPr>
            <w:tcW w:w="2023" w:type="dxa"/>
            <w:vMerge/>
            <w:tcBorders>
              <w:right w:val="single" w:sz="12" w:space="0" w:color="auto"/>
            </w:tcBorders>
          </w:tcPr>
          <w:p w14:paraId="1677A9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7F502C" w14:textId="77777777">
        <w:tc>
          <w:tcPr>
            <w:tcW w:w="1384" w:type="dxa"/>
            <w:vMerge/>
            <w:tcBorders>
              <w:left w:val="single" w:sz="12" w:space="0" w:color="auto"/>
            </w:tcBorders>
          </w:tcPr>
          <w:p w14:paraId="01662B5D" w14:textId="77777777" w:rsidR="003B3105" w:rsidRDefault="003B3105" w:rsidP="001E533B">
            <w:pPr>
              <w:rPr>
                <w:rFonts w:ascii="新細明體" w:eastAsia="新細明體" w:hAnsi="新細明體"/>
              </w:rPr>
            </w:pPr>
          </w:p>
        </w:tc>
        <w:tc>
          <w:tcPr>
            <w:tcW w:w="1276" w:type="dxa"/>
            <w:vMerge/>
          </w:tcPr>
          <w:p w14:paraId="479A3F1D" w14:textId="77777777" w:rsidR="003B3105" w:rsidRDefault="003B3105" w:rsidP="001E533B">
            <w:pPr>
              <w:rPr>
                <w:rFonts w:ascii="新細明體" w:eastAsia="新細明體" w:hAnsi="新細明體"/>
              </w:rPr>
            </w:pPr>
          </w:p>
        </w:tc>
        <w:tc>
          <w:tcPr>
            <w:tcW w:w="5386" w:type="dxa"/>
            <w:tcBorders>
              <w:top w:val="nil"/>
              <w:bottom w:val="nil"/>
            </w:tcBorders>
          </w:tcPr>
          <w:p w14:paraId="03741B7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4.委託書是否依委託順序並按每部終端機分別編號及打印時間，且不得有空號、跳號或重覆編號等情事。</w:t>
            </w:r>
          </w:p>
        </w:tc>
        <w:tc>
          <w:tcPr>
            <w:tcW w:w="5387" w:type="dxa"/>
            <w:tcBorders>
              <w:top w:val="nil"/>
              <w:bottom w:val="nil"/>
            </w:tcBorders>
          </w:tcPr>
          <w:p w14:paraId="184DB68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4.委託書是否依委託順序並按每部終端機分別編號及打印時間，且不得有空號、跳號或重覆編號等情事。</w:t>
            </w:r>
          </w:p>
        </w:tc>
        <w:tc>
          <w:tcPr>
            <w:tcW w:w="2023" w:type="dxa"/>
            <w:vMerge/>
            <w:tcBorders>
              <w:right w:val="single" w:sz="12" w:space="0" w:color="auto"/>
            </w:tcBorders>
          </w:tcPr>
          <w:p w14:paraId="7860829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7B5F68" w14:textId="77777777">
        <w:tc>
          <w:tcPr>
            <w:tcW w:w="1384" w:type="dxa"/>
            <w:vMerge/>
            <w:tcBorders>
              <w:left w:val="single" w:sz="12" w:space="0" w:color="auto"/>
            </w:tcBorders>
          </w:tcPr>
          <w:p w14:paraId="14337623" w14:textId="77777777" w:rsidR="003B3105" w:rsidRDefault="003B3105" w:rsidP="001E533B">
            <w:pPr>
              <w:rPr>
                <w:rFonts w:ascii="新細明體" w:eastAsia="新細明體" w:hAnsi="新細明體"/>
              </w:rPr>
            </w:pPr>
          </w:p>
        </w:tc>
        <w:tc>
          <w:tcPr>
            <w:tcW w:w="1276" w:type="dxa"/>
            <w:vMerge/>
          </w:tcPr>
          <w:p w14:paraId="1547E180" w14:textId="77777777" w:rsidR="003B3105" w:rsidRDefault="003B3105" w:rsidP="001E533B">
            <w:pPr>
              <w:rPr>
                <w:rFonts w:ascii="新細明體" w:eastAsia="新細明體" w:hAnsi="新細明體"/>
              </w:rPr>
            </w:pPr>
          </w:p>
        </w:tc>
        <w:tc>
          <w:tcPr>
            <w:tcW w:w="5386" w:type="dxa"/>
            <w:tcBorders>
              <w:top w:val="nil"/>
              <w:bottom w:val="nil"/>
            </w:tcBorders>
          </w:tcPr>
          <w:p w14:paraId="01A2BB9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5.公司於受託買賣後，是否依客戶之通知，始得撤銷或變更其委託事項，且以其委託事項尚未成交者為限。</w:t>
            </w:r>
          </w:p>
        </w:tc>
        <w:tc>
          <w:tcPr>
            <w:tcW w:w="5387" w:type="dxa"/>
            <w:tcBorders>
              <w:top w:val="nil"/>
              <w:bottom w:val="nil"/>
            </w:tcBorders>
          </w:tcPr>
          <w:p w14:paraId="5B03BD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5.公司於受託買賣後，是否依客戶之通知，始得撤銷或變更其委託事項，且以其委託事項尚未成交者為限。</w:t>
            </w:r>
          </w:p>
        </w:tc>
        <w:tc>
          <w:tcPr>
            <w:tcW w:w="2023" w:type="dxa"/>
            <w:vMerge/>
            <w:tcBorders>
              <w:right w:val="single" w:sz="12" w:space="0" w:color="auto"/>
            </w:tcBorders>
          </w:tcPr>
          <w:p w14:paraId="3979F3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8A59FC" w14:textId="77777777">
        <w:tc>
          <w:tcPr>
            <w:tcW w:w="1384" w:type="dxa"/>
            <w:vMerge/>
            <w:tcBorders>
              <w:left w:val="single" w:sz="12" w:space="0" w:color="auto"/>
            </w:tcBorders>
          </w:tcPr>
          <w:p w14:paraId="1607D9F9" w14:textId="77777777" w:rsidR="003B3105" w:rsidRDefault="003B3105" w:rsidP="001E533B">
            <w:pPr>
              <w:rPr>
                <w:rFonts w:ascii="新細明體" w:eastAsia="新細明體" w:hAnsi="新細明體"/>
              </w:rPr>
            </w:pPr>
          </w:p>
        </w:tc>
        <w:tc>
          <w:tcPr>
            <w:tcW w:w="1276" w:type="dxa"/>
            <w:vMerge/>
          </w:tcPr>
          <w:p w14:paraId="4641D9FB" w14:textId="77777777" w:rsidR="003B3105" w:rsidRDefault="003B3105" w:rsidP="001E533B">
            <w:pPr>
              <w:rPr>
                <w:rFonts w:ascii="新細明體" w:eastAsia="新細明體" w:hAnsi="新細明體"/>
              </w:rPr>
            </w:pPr>
          </w:p>
        </w:tc>
        <w:tc>
          <w:tcPr>
            <w:tcW w:w="5386" w:type="dxa"/>
            <w:tcBorders>
              <w:top w:val="nil"/>
              <w:bottom w:val="nil"/>
            </w:tcBorders>
          </w:tcPr>
          <w:p w14:paraId="675458A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6.買賣成交後是否即於委託書上簽蓋「已成交」之戳記，並通知客戶。</w:t>
            </w:r>
          </w:p>
        </w:tc>
        <w:tc>
          <w:tcPr>
            <w:tcW w:w="5387" w:type="dxa"/>
            <w:tcBorders>
              <w:top w:val="nil"/>
              <w:bottom w:val="nil"/>
            </w:tcBorders>
          </w:tcPr>
          <w:p w14:paraId="29DB1D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6.買賣成交後是否即於委託書上簽蓋「已成交」之戳記，並通知客戶。</w:t>
            </w:r>
          </w:p>
        </w:tc>
        <w:tc>
          <w:tcPr>
            <w:tcW w:w="2023" w:type="dxa"/>
            <w:vMerge/>
            <w:tcBorders>
              <w:right w:val="single" w:sz="12" w:space="0" w:color="auto"/>
            </w:tcBorders>
          </w:tcPr>
          <w:p w14:paraId="561A93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D3D3BB" w14:textId="77777777">
        <w:tc>
          <w:tcPr>
            <w:tcW w:w="1384" w:type="dxa"/>
            <w:vMerge/>
            <w:tcBorders>
              <w:left w:val="single" w:sz="12" w:space="0" w:color="auto"/>
            </w:tcBorders>
          </w:tcPr>
          <w:p w14:paraId="5AAAF6F5" w14:textId="77777777" w:rsidR="003B3105" w:rsidRDefault="003B3105" w:rsidP="001E533B">
            <w:pPr>
              <w:rPr>
                <w:rFonts w:ascii="新細明體" w:eastAsia="新細明體" w:hAnsi="新細明體"/>
              </w:rPr>
            </w:pPr>
          </w:p>
        </w:tc>
        <w:tc>
          <w:tcPr>
            <w:tcW w:w="1276" w:type="dxa"/>
            <w:vMerge/>
          </w:tcPr>
          <w:p w14:paraId="6BD0E9BF" w14:textId="77777777" w:rsidR="003B3105" w:rsidRDefault="003B3105" w:rsidP="001E533B">
            <w:pPr>
              <w:rPr>
                <w:rFonts w:ascii="新細明體" w:eastAsia="新細明體" w:hAnsi="新細明體"/>
              </w:rPr>
            </w:pPr>
          </w:p>
        </w:tc>
        <w:tc>
          <w:tcPr>
            <w:tcW w:w="5386" w:type="dxa"/>
            <w:tcBorders>
              <w:top w:val="nil"/>
              <w:bottom w:val="nil"/>
            </w:tcBorders>
          </w:tcPr>
          <w:p w14:paraId="48A42EE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7.未成交或已註銷之委託書，是否加蓋「未成交」或「註銷」章，並依規定期限保存。</w:t>
            </w:r>
          </w:p>
        </w:tc>
        <w:tc>
          <w:tcPr>
            <w:tcW w:w="5387" w:type="dxa"/>
            <w:tcBorders>
              <w:top w:val="nil"/>
              <w:bottom w:val="nil"/>
            </w:tcBorders>
          </w:tcPr>
          <w:p w14:paraId="5DA96C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7.未成交或已註銷之委託書，是否加蓋「未成交」或「註銷」章，並依規定期限保存。</w:t>
            </w:r>
          </w:p>
        </w:tc>
        <w:tc>
          <w:tcPr>
            <w:tcW w:w="2023" w:type="dxa"/>
            <w:vMerge/>
            <w:tcBorders>
              <w:right w:val="single" w:sz="12" w:space="0" w:color="auto"/>
            </w:tcBorders>
          </w:tcPr>
          <w:p w14:paraId="47A317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62709B" w14:textId="77777777">
        <w:tc>
          <w:tcPr>
            <w:tcW w:w="1384" w:type="dxa"/>
            <w:vMerge/>
            <w:tcBorders>
              <w:left w:val="single" w:sz="12" w:space="0" w:color="auto"/>
            </w:tcBorders>
          </w:tcPr>
          <w:p w14:paraId="176E8DBE" w14:textId="77777777" w:rsidR="003B3105" w:rsidRDefault="003B3105" w:rsidP="001E533B">
            <w:pPr>
              <w:rPr>
                <w:rFonts w:ascii="新細明體" w:eastAsia="新細明體" w:hAnsi="新細明體"/>
              </w:rPr>
            </w:pPr>
          </w:p>
        </w:tc>
        <w:tc>
          <w:tcPr>
            <w:tcW w:w="1276" w:type="dxa"/>
            <w:vMerge/>
          </w:tcPr>
          <w:p w14:paraId="07407F94" w14:textId="77777777" w:rsidR="003B3105" w:rsidRDefault="003B3105" w:rsidP="001E533B">
            <w:pPr>
              <w:rPr>
                <w:rFonts w:ascii="新細明體" w:eastAsia="新細明體" w:hAnsi="新細明體"/>
              </w:rPr>
            </w:pPr>
          </w:p>
        </w:tc>
        <w:tc>
          <w:tcPr>
            <w:tcW w:w="5386" w:type="dxa"/>
            <w:tcBorders>
              <w:top w:val="nil"/>
              <w:bottom w:val="nil"/>
            </w:tcBorders>
          </w:tcPr>
          <w:p w14:paraId="506B042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8.推介客戶買賣有價證券，是否依證交所（櫃檯買賣中心）「證券商推介客戶買賣有價證券管理辦法」及相關規定辦理。</w:t>
            </w:r>
          </w:p>
        </w:tc>
        <w:tc>
          <w:tcPr>
            <w:tcW w:w="5387" w:type="dxa"/>
            <w:tcBorders>
              <w:top w:val="nil"/>
              <w:bottom w:val="nil"/>
            </w:tcBorders>
          </w:tcPr>
          <w:p w14:paraId="348BB05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8.推介客戶買賣有價證券，是否依證交所（櫃檯買賣中心）「證券商推介客戶買賣有價證券管理辦法」及相關規定辦理。</w:t>
            </w:r>
          </w:p>
        </w:tc>
        <w:tc>
          <w:tcPr>
            <w:tcW w:w="2023" w:type="dxa"/>
            <w:vMerge/>
            <w:tcBorders>
              <w:right w:val="single" w:sz="12" w:space="0" w:color="auto"/>
            </w:tcBorders>
          </w:tcPr>
          <w:p w14:paraId="6DF83D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98AD61" w14:textId="77777777">
        <w:tc>
          <w:tcPr>
            <w:tcW w:w="1384" w:type="dxa"/>
            <w:vMerge/>
            <w:tcBorders>
              <w:left w:val="single" w:sz="12" w:space="0" w:color="auto"/>
            </w:tcBorders>
          </w:tcPr>
          <w:p w14:paraId="4686E005" w14:textId="77777777" w:rsidR="003B3105" w:rsidRDefault="003B3105" w:rsidP="001E533B">
            <w:pPr>
              <w:rPr>
                <w:rFonts w:ascii="新細明體" w:eastAsia="新細明體" w:hAnsi="新細明體"/>
              </w:rPr>
            </w:pPr>
          </w:p>
        </w:tc>
        <w:tc>
          <w:tcPr>
            <w:tcW w:w="1276" w:type="dxa"/>
            <w:vMerge/>
          </w:tcPr>
          <w:p w14:paraId="3F4D075E" w14:textId="77777777" w:rsidR="003B3105" w:rsidRDefault="003B3105" w:rsidP="001E533B">
            <w:pPr>
              <w:rPr>
                <w:rFonts w:ascii="新細明體" w:eastAsia="新細明體" w:hAnsi="新細明體"/>
              </w:rPr>
            </w:pPr>
          </w:p>
        </w:tc>
        <w:tc>
          <w:tcPr>
            <w:tcW w:w="5386" w:type="dxa"/>
            <w:tcBorders>
              <w:top w:val="nil"/>
              <w:bottom w:val="nil"/>
            </w:tcBorders>
          </w:tcPr>
          <w:p w14:paraId="09207C0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9.受託買賣業務人員接受客戶當面委託時，委託人是否為客戶本人或已出具委任授權書之合格代理人。</w:t>
            </w:r>
          </w:p>
        </w:tc>
        <w:tc>
          <w:tcPr>
            <w:tcW w:w="5387" w:type="dxa"/>
            <w:tcBorders>
              <w:top w:val="nil"/>
              <w:bottom w:val="nil"/>
            </w:tcBorders>
          </w:tcPr>
          <w:p w14:paraId="3E434B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9.受託買賣業務人員接受客戶當面委託時，委託人是否為客戶本人或已出具委任授權書之合格代理人。</w:t>
            </w:r>
          </w:p>
        </w:tc>
        <w:tc>
          <w:tcPr>
            <w:tcW w:w="2023" w:type="dxa"/>
            <w:vMerge/>
            <w:tcBorders>
              <w:right w:val="single" w:sz="12" w:space="0" w:color="auto"/>
            </w:tcBorders>
          </w:tcPr>
          <w:p w14:paraId="36BEB0F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EB32C2" w14:textId="77777777">
        <w:tc>
          <w:tcPr>
            <w:tcW w:w="1384" w:type="dxa"/>
            <w:vMerge/>
            <w:tcBorders>
              <w:left w:val="single" w:sz="12" w:space="0" w:color="auto"/>
            </w:tcBorders>
          </w:tcPr>
          <w:p w14:paraId="1840496B" w14:textId="77777777" w:rsidR="003B3105" w:rsidRDefault="003B3105" w:rsidP="001E533B">
            <w:pPr>
              <w:rPr>
                <w:rFonts w:ascii="新細明體" w:eastAsia="新細明體" w:hAnsi="新細明體"/>
              </w:rPr>
            </w:pPr>
          </w:p>
        </w:tc>
        <w:tc>
          <w:tcPr>
            <w:tcW w:w="1276" w:type="dxa"/>
            <w:vMerge/>
          </w:tcPr>
          <w:p w14:paraId="754D45EA" w14:textId="77777777" w:rsidR="003B3105" w:rsidRDefault="003B3105" w:rsidP="001E533B">
            <w:pPr>
              <w:rPr>
                <w:rFonts w:ascii="新細明體" w:eastAsia="新細明體" w:hAnsi="新細明體"/>
              </w:rPr>
            </w:pPr>
          </w:p>
        </w:tc>
        <w:tc>
          <w:tcPr>
            <w:tcW w:w="5386" w:type="dxa"/>
            <w:tcBorders>
              <w:top w:val="nil"/>
              <w:bottom w:val="nil"/>
            </w:tcBorders>
          </w:tcPr>
          <w:p w14:paraId="30801D1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10.公司如提供客戶「一點開戶多點服務」作業，是否應依證交所104年5月14日臺證輔字第1040008533號函及105年11月30日臺證輔字第1050022488號函辦理。</w:t>
            </w:r>
          </w:p>
        </w:tc>
        <w:tc>
          <w:tcPr>
            <w:tcW w:w="5387" w:type="dxa"/>
            <w:tcBorders>
              <w:top w:val="nil"/>
              <w:bottom w:val="nil"/>
            </w:tcBorders>
          </w:tcPr>
          <w:p w14:paraId="3DE9CC2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10.公司如提供客戶「一點開戶多點服務」作業，是否應依證交所104年5月14日臺證輔字第1040008533號函及105年11月30日臺證輔字第1050022488號函辦理。</w:t>
            </w:r>
          </w:p>
        </w:tc>
        <w:tc>
          <w:tcPr>
            <w:tcW w:w="2023" w:type="dxa"/>
            <w:vMerge/>
            <w:tcBorders>
              <w:right w:val="single" w:sz="12" w:space="0" w:color="auto"/>
            </w:tcBorders>
          </w:tcPr>
          <w:p w14:paraId="4D4A06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17FEB8" w14:textId="77777777">
        <w:tc>
          <w:tcPr>
            <w:tcW w:w="1384" w:type="dxa"/>
            <w:vMerge/>
            <w:tcBorders>
              <w:left w:val="single" w:sz="12" w:space="0" w:color="auto"/>
            </w:tcBorders>
          </w:tcPr>
          <w:p w14:paraId="790711E4" w14:textId="77777777" w:rsidR="003B3105" w:rsidRDefault="003B3105" w:rsidP="001E533B">
            <w:pPr>
              <w:rPr>
                <w:rFonts w:ascii="新細明體" w:eastAsia="新細明體" w:hAnsi="新細明體"/>
              </w:rPr>
            </w:pPr>
          </w:p>
        </w:tc>
        <w:tc>
          <w:tcPr>
            <w:tcW w:w="1276" w:type="dxa"/>
            <w:vMerge/>
          </w:tcPr>
          <w:p w14:paraId="1F465ABB" w14:textId="77777777" w:rsidR="003B3105" w:rsidRDefault="003B3105" w:rsidP="001E533B">
            <w:pPr>
              <w:rPr>
                <w:rFonts w:ascii="新細明體" w:eastAsia="新細明體" w:hAnsi="新細明體"/>
              </w:rPr>
            </w:pPr>
          </w:p>
        </w:tc>
        <w:tc>
          <w:tcPr>
            <w:tcW w:w="5386" w:type="dxa"/>
            <w:tcBorders>
              <w:top w:val="nil"/>
              <w:bottom w:val="nil"/>
            </w:tcBorders>
          </w:tcPr>
          <w:p w14:paraId="691377FF"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11.公司受託辦理定期定額買賣有價證券，是否依「證券商受託辦理定期定額買賣有價證券作業辦法」規定辦理。</w:t>
            </w:r>
          </w:p>
        </w:tc>
        <w:tc>
          <w:tcPr>
            <w:tcW w:w="5387" w:type="dxa"/>
            <w:tcBorders>
              <w:top w:val="nil"/>
              <w:bottom w:val="nil"/>
            </w:tcBorders>
          </w:tcPr>
          <w:p w14:paraId="2AEF5717"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11.公司受託辦理定期定額買賣有價證券，是否依「證券商受託辦理定期定額買賣有價證券作業辦法」規定辦理。</w:t>
            </w:r>
          </w:p>
        </w:tc>
        <w:tc>
          <w:tcPr>
            <w:tcW w:w="2023" w:type="dxa"/>
            <w:vMerge/>
            <w:tcBorders>
              <w:right w:val="single" w:sz="12" w:space="0" w:color="auto"/>
            </w:tcBorders>
          </w:tcPr>
          <w:p w14:paraId="3AECE4F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E14ED1" w14:textId="77777777">
        <w:tc>
          <w:tcPr>
            <w:tcW w:w="1384" w:type="dxa"/>
            <w:vMerge/>
            <w:tcBorders>
              <w:left w:val="single" w:sz="12" w:space="0" w:color="auto"/>
            </w:tcBorders>
          </w:tcPr>
          <w:p w14:paraId="0C93946A" w14:textId="77777777" w:rsidR="003B3105" w:rsidRDefault="003B3105" w:rsidP="001E533B">
            <w:pPr>
              <w:rPr>
                <w:rFonts w:ascii="新細明體" w:eastAsia="新細明體" w:hAnsi="新細明體"/>
              </w:rPr>
            </w:pPr>
          </w:p>
        </w:tc>
        <w:tc>
          <w:tcPr>
            <w:tcW w:w="1276" w:type="dxa"/>
            <w:vMerge/>
          </w:tcPr>
          <w:p w14:paraId="14B1697F" w14:textId="77777777" w:rsidR="003B3105" w:rsidRDefault="003B3105" w:rsidP="001E533B">
            <w:pPr>
              <w:rPr>
                <w:rFonts w:ascii="新細明體" w:eastAsia="新細明體" w:hAnsi="新細明體"/>
              </w:rPr>
            </w:pPr>
          </w:p>
        </w:tc>
        <w:tc>
          <w:tcPr>
            <w:tcW w:w="5386" w:type="dxa"/>
            <w:tcBorders>
              <w:top w:val="nil"/>
              <w:bottom w:val="nil"/>
            </w:tcBorders>
          </w:tcPr>
          <w:p w14:paraId="7528EF7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(十)變更交易方法有價證券及處置證券之受託買賣：</w:t>
            </w:r>
          </w:p>
        </w:tc>
        <w:tc>
          <w:tcPr>
            <w:tcW w:w="5387" w:type="dxa"/>
            <w:tcBorders>
              <w:top w:val="nil"/>
              <w:bottom w:val="nil"/>
            </w:tcBorders>
          </w:tcPr>
          <w:p w14:paraId="3E76DF1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(十)變更交易方法有價證券及處置證券之受託買賣：</w:t>
            </w:r>
          </w:p>
        </w:tc>
        <w:tc>
          <w:tcPr>
            <w:tcW w:w="2023" w:type="dxa"/>
            <w:vMerge/>
            <w:tcBorders>
              <w:right w:val="single" w:sz="12" w:space="0" w:color="auto"/>
            </w:tcBorders>
          </w:tcPr>
          <w:p w14:paraId="7159B77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5585B0" w14:textId="77777777">
        <w:tc>
          <w:tcPr>
            <w:tcW w:w="1384" w:type="dxa"/>
            <w:vMerge/>
            <w:tcBorders>
              <w:left w:val="single" w:sz="12" w:space="0" w:color="auto"/>
            </w:tcBorders>
          </w:tcPr>
          <w:p w14:paraId="73996D15" w14:textId="77777777" w:rsidR="003B3105" w:rsidRDefault="003B3105" w:rsidP="001E533B">
            <w:pPr>
              <w:rPr>
                <w:rFonts w:ascii="新細明體" w:eastAsia="新細明體" w:hAnsi="新細明體"/>
              </w:rPr>
            </w:pPr>
          </w:p>
        </w:tc>
        <w:tc>
          <w:tcPr>
            <w:tcW w:w="1276" w:type="dxa"/>
            <w:vMerge/>
          </w:tcPr>
          <w:p w14:paraId="5FFAB191" w14:textId="77777777" w:rsidR="003B3105" w:rsidRDefault="003B3105" w:rsidP="001E533B">
            <w:pPr>
              <w:rPr>
                <w:rFonts w:ascii="新細明體" w:eastAsia="新細明體" w:hAnsi="新細明體"/>
              </w:rPr>
            </w:pPr>
          </w:p>
        </w:tc>
        <w:tc>
          <w:tcPr>
            <w:tcW w:w="5386" w:type="dxa"/>
            <w:tcBorders>
              <w:top w:val="nil"/>
              <w:bottom w:val="nil"/>
            </w:tcBorders>
          </w:tcPr>
          <w:p w14:paraId="2F7AFA1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變更交易方法有價證券受託買賣前是否預先收足額或一定成數之款券（但公司以違約專戶買賣變更交易方法及處置有價證券者，或有保管機構代理之機構投資人或政府基金，申報賣出單一變更交易方法之有價證券，當日累計金額未達新臺幣伍仟萬元以上者，不在此限），公司接受客戶買進變更交易方法或處置有價證券，是否於受託當日或前一營業日收取或圈存經客戶同意留存於公司交割專戶應預收之款項，並負責查證匯款人是以客戶之本人名義，證券商從業人員係由本人之劃撥銀行帳戶匯入公司預收款交割專戶，始得辦理買賣申報。另客戶如係境外華僑及外國人與保管機構約定已圈存之款券不得匯撥移作他用，且公司經集保公司相關作業系統確認款券者，就其委託買賣處置有價證券，公司是否確認保管機構已圈存足額款券後受理。</w:t>
            </w:r>
            <w:r>
              <w:rPr>
                <w:rFonts w:ascii="新細明體" w:eastAsia="新細明體" w:hAnsi="新細明體" w:cs="新細明體" w:hint="eastAsia"/>
                <w:b/>
                <w:color w:val="FF0000"/>
                <w:u w:val="single"/>
              </w:rPr>
              <w:t>另公司依證交所受益憑證買賣辦法第十四條第六項或櫃檯買賣中心指數股票型基金及主動式交易所交易基金受益憑證買賣辦法第十三條第五項規定，受託賣出受益憑證申購部位，是否經證交所或櫃檯買賣中心相關作業系統確認客戶已取得證券投資信託事業或期貨信託事業之申購部位確認，始受理賣出。</w:t>
            </w:r>
          </w:p>
        </w:tc>
        <w:tc>
          <w:tcPr>
            <w:tcW w:w="5387" w:type="dxa"/>
            <w:tcBorders>
              <w:top w:val="nil"/>
              <w:bottom w:val="nil"/>
            </w:tcBorders>
          </w:tcPr>
          <w:p w14:paraId="1BD92C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變更交易方法有價證券受託買賣前是否預先收足額或一定成數之款券（但公司以違約專戶買賣變更交易方法及處置有價證券者，或有保管機構代理之機構投資人或政府基金，申報賣出單一變更交易方法之有價證券，當日累計金額未達新臺幣伍仟萬元以上者，不在此限），公司接受客戶買進變更交易方法或處置有價證券，是否於受託當日或前一營業日收取或圈存經客戶同意留存於公司交割專戶應預收之款項，並負責查證匯款人是以客戶之本人名義，證券商從業人員係由本人之劃撥銀行帳戶匯入公司預收款交割專戶，始得辦理買賣申報。另客戶如係境外華僑及外國人與保管機構約定已圈存之款券不得匯撥移作他用，且公司經集保公司相關作業系統確認款券者，就其委託買賣處置有價證券，公司是否確認保管機構已圈存足額款券後受理。</w:t>
            </w:r>
          </w:p>
        </w:tc>
        <w:tc>
          <w:tcPr>
            <w:tcW w:w="2023" w:type="dxa"/>
            <w:vMerge/>
            <w:tcBorders>
              <w:right w:val="single" w:sz="12" w:space="0" w:color="auto"/>
            </w:tcBorders>
          </w:tcPr>
          <w:p w14:paraId="7581BDA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4ECE0F" w14:textId="77777777">
        <w:tc>
          <w:tcPr>
            <w:tcW w:w="1384" w:type="dxa"/>
            <w:vMerge/>
            <w:tcBorders>
              <w:left w:val="single" w:sz="12" w:space="0" w:color="auto"/>
            </w:tcBorders>
          </w:tcPr>
          <w:p w14:paraId="24F6787F" w14:textId="77777777" w:rsidR="003B3105" w:rsidRDefault="003B3105" w:rsidP="001E533B">
            <w:pPr>
              <w:rPr>
                <w:rFonts w:ascii="新細明體" w:eastAsia="新細明體" w:hAnsi="新細明體"/>
              </w:rPr>
            </w:pPr>
          </w:p>
        </w:tc>
        <w:tc>
          <w:tcPr>
            <w:tcW w:w="1276" w:type="dxa"/>
            <w:vMerge/>
          </w:tcPr>
          <w:p w14:paraId="1E796586" w14:textId="77777777" w:rsidR="003B3105" w:rsidRDefault="003B3105" w:rsidP="001E533B">
            <w:pPr>
              <w:rPr>
                <w:rFonts w:ascii="新細明體" w:eastAsia="新細明體" w:hAnsi="新細明體"/>
              </w:rPr>
            </w:pPr>
          </w:p>
        </w:tc>
        <w:tc>
          <w:tcPr>
            <w:tcW w:w="5386" w:type="dxa"/>
            <w:tcBorders>
              <w:top w:val="nil"/>
              <w:bottom w:val="nil"/>
            </w:tcBorders>
          </w:tcPr>
          <w:p w14:paraId="323880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2.變更交易方法股票委託書是否加註已預收足額款券之紀錄（加蓋「款券收訖」戳記）及經辦人簽章。</w:t>
            </w:r>
          </w:p>
        </w:tc>
        <w:tc>
          <w:tcPr>
            <w:tcW w:w="5387" w:type="dxa"/>
            <w:tcBorders>
              <w:top w:val="nil"/>
              <w:bottom w:val="nil"/>
            </w:tcBorders>
          </w:tcPr>
          <w:p w14:paraId="3CB1F80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2.變更交易方法股票委託書是否加註已預收足額款券之紀錄（加蓋「款券收訖」戳記）及經辦人簽章。</w:t>
            </w:r>
          </w:p>
        </w:tc>
        <w:tc>
          <w:tcPr>
            <w:tcW w:w="2023" w:type="dxa"/>
            <w:vMerge/>
            <w:tcBorders>
              <w:right w:val="single" w:sz="12" w:space="0" w:color="auto"/>
            </w:tcBorders>
          </w:tcPr>
          <w:p w14:paraId="128466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9D9DD46" w14:textId="77777777">
        <w:tc>
          <w:tcPr>
            <w:tcW w:w="1384" w:type="dxa"/>
            <w:vMerge/>
            <w:tcBorders>
              <w:left w:val="single" w:sz="12" w:space="0" w:color="auto"/>
            </w:tcBorders>
          </w:tcPr>
          <w:p w14:paraId="76441FFD" w14:textId="77777777" w:rsidR="003B3105" w:rsidRDefault="003B3105" w:rsidP="001E533B">
            <w:pPr>
              <w:rPr>
                <w:rFonts w:ascii="新細明體" w:eastAsia="新細明體" w:hAnsi="新細明體"/>
              </w:rPr>
            </w:pPr>
          </w:p>
        </w:tc>
        <w:tc>
          <w:tcPr>
            <w:tcW w:w="1276" w:type="dxa"/>
            <w:vMerge/>
          </w:tcPr>
          <w:p w14:paraId="2E8C2792" w14:textId="77777777" w:rsidR="003B3105" w:rsidRDefault="003B3105" w:rsidP="001E533B">
            <w:pPr>
              <w:rPr>
                <w:rFonts w:ascii="新細明體" w:eastAsia="新細明體" w:hAnsi="新細明體"/>
              </w:rPr>
            </w:pPr>
          </w:p>
        </w:tc>
        <w:tc>
          <w:tcPr>
            <w:tcW w:w="5386" w:type="dxa"/>
            <w:tcBorders>
              <w:top w:val="nil"/>
              <w:bottom w:val="nil"/>
            </w:tcBorders>
          </w:tcPr>
          <w:p w14:paraId="51D6CC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3.預收之款、券是否編製預收款項明細表、預繳股票明細表。</w:t>
            </w:r>
          </w:p>
        </w:tc>
        <w:tc>
          <w:tcPr>
            <w:tcW w:w="5387" w:type="dxa"/>
            <w:tcBorders>
              <w:top w:val="nil"/>
              <w:bottom w:val="nil"/>
            </w:tcBorders>
          </w:tcPr>
          <w:p w14:paraId="387DA59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3.預收之款、券是否編製預收款項明細表、預繳股票明細表。</w:t>
            </w:r>
          </w:p>
        </w:tc>
        <w:tc>
          <w:tcPr>
            <w:tcW w:w="2023" w:type="dxa"/>
            <w:vMerge/>
            <w:tcBorders>
              <w:right w:val="single" w:sz="12" w:space="0" w:color="auto"/>
            </w:tcBorders>
          </w:tcPr>
          <w:p w14:paraId="4747000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63064D3" w14:textId="77777777">
        <w:tc>
          <w:tcPr>
            <w:tcW w:w="1384" w:type="dxa"/>
            <w:vMerge/>
            <w:tcBorders>
              <w:left w:val="single" w:sz="12" w:space="0" w:color="auto"/>
            </w:tcBorders>
          </w:tcPr>
          <w:p w14:paraId="060A8526" w14:textId="77777777" w:rsidR="003B3105" w:rsidRDefault="003B3105" w:rsidP="001E533B">
            <w:pPr>
              <w:rPr>
                <w:rFonts w:ascii="新細明體" w:eastAsia="新細明體" w:hAnsi="新細明體"/>
              </w:rPr>
            </w:pPr>
          </w:p>
        </w:tc>
        <w:tc>
          <w:tcPr>
            <w:tcW w:w="1276" w:type="dxa"/>
            <w:vMerge/>
          </w:tcPr>
          <w:p w14:paraId="5CA2B78E" w14:textId="77777777" w:rsidR="003B3105" w:rsidRDefault="003B3105" w:rsidP="001E533B">
            <w:pPr>
              <w:rPr>
                <w:rFonts w:ascii="新細明體" w:eastAsia="新細明體" w:hAnsi="新細明體"/>
              </w:rPr>
            </w:pPr>
          </w:p>
        </w:tc>
        <w:tc>
          <w:tcPr>
            <w:tcW w:w="5386" w:type="dxa"/>
            <w:tcBorders>
              <w:top w:val="nil"/>
              <w:bottom w:val="nil"/>
            </w:tcBorders>
          </w:tcPr>
          <w:p w14:paraId="696897A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4.是否於委託賣出時辦理圈存並列印電腦處理紀錄留存備查。</w:t>
            </w:r>
          </w:p>
        </w:tc>
        <w:tc>
          <w:tcPr>
            <w:tcW w:w="5387" w:type="dxa"/>
            <w:tcBorders>
              <w:top w:val="nil"/>
              <w:bottom w:val="nil"/>
            </w:tcBorders>
          </w:tcPr>
          <w:p w14:paraId="6C8DDB8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4.是否於委託賣出時辦理圈存並列印電腦處理紀錄留存備查。</w:t>
            </w:r>
          </w:p>
        </w:tc>
        <w:tc>
          <w:tcPr>
            <w:tcW w:w="2023" w:type="dxa"/>
            <w:vMerge/>
            <w:tcBorders>
              <w:right w:val="single" w:sz="12" w:space="0" w:color="auto"/>
            </w:tcBorders>
          </w:tcPr>
          <w:p w14:paraId="192C5E7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A40FA1" w14:textId="77777777">
        <w:tc>
          <w:tcPr>
            <w:tcW w:w="1384" w:type="dxa"/>
            <w:vMerge/>
            <w:tcBorders>
              <w:left w:val="single" w:sz="12" w:space="0" w:color="auto"/>
            </w:tcBorders>
          </w:tcPr>
          <w:p w14:paraId="1998E6F2" w14:textId="77777777" w:rsidR="003B3105" w:rsidRDefault="003B3105" w:rsidP="001E533B">
            <w:pPr>
              <w:rPr>
                <w:rFonts w:ascii="新細明體" w:eastAsia="新細明體" w:hAnsi="新細明體"/>
              </w:rPr>
            </w:pPr>
          </w:p>
        </w:tc>
        <w:tc>
          <w:tcPr>
            <w:tcW w:w="1276" w:type="dxa"/>
            <w:vMerge/>
          </w:tcPr>
          <w:p w14:paraId="19E081CC" w14:textId="77777777" w:rsidR="003B3105" w:rsidRDefault="003B3105" w:rsidP="001E533B">
            <w:pPr>
              <w:rPr>
                <w:rFonts w:ascii="新細明體" w:eastAsia="新細明體" w:hAnsi="新細明體"/>
              </w:rPr>
            </w:pPr>
          </w:p>
        </w:tc>
        <w:tc>
          <w:tcPr>
            <w:tcW w:w="5386" w:type="dxa"/>
            <w:tcBorders>
              <w:top w:val="nil"/>
              <w:bottom w:val="nil"/>
            </w:tcBorders>
          </w:tcPr>
          <w:p w14:paraId="54E0253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5.有價證券經證交所（櫃檯買賣中心）依「實施股市監視制度辦法」（「櫃檯買賣有價證券監視制度辦法」）及相關作業規定採取處置措施者，是否依證交所（櫃檯買賣中心）相關規定辦理。</w:t>
            </w:r>
          </w:p>
        </w:tc>
        <w:tc>
          <w:tcPr>
            <w:tcW w:w="5387" w:type="dxa"/>
            <w:tcBorders>
              <w:top w:val="nil"/>
              <w:bottom w:val="nil"/>
            </w:tcBorders>
          </w:tcPr>
          <w:p w14:paraId="360041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5.有價證券經證交所（櫃檯買賣中心）依「實施股市監視制度辦法」（「櫃檯買賣有價證券監視制度辦法」）及相關作業規定採取處置措施者，是否依證交所（櫃檯買賣中心）相關規定辦理。</w:t>
            </w:r>
          </w:p>
        </w:tc>
        <w:tc>
          <w:tcPr>
            <w:tcW w:w="2023" w:type="dxa"/>
            <w:vMerge/>
            <w:tcBorders>
              <w:right w:val="single" w:sz="12" w:space="0" w:color="auto"/>
            </w:tcBorders>
          </w:tcPr>
          <w:p w14:paraId="42E2EC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173C8E" w14:textId="77777777">
        <w:tc>
          <w:tcPr>
            <w:tcW w:w="1384" w:type="dxa"/>
            <w:vMerge/>
            <w:tcBorders>
              <w:left w:val="single" w:sz="12" w:space="0" w:color="auto"/>
            </w:tcBorders>
          </w:tcPr>
          <w:p w14:paraId="2EF85713" w14:textId="77777777" w:rsidR="003B3105" w:rsidRDefault="003B3105" w:rsidP="001E533B">
            <w:pPr>
              <w:rPr>
                <w:rFonts w:ascii="新細明體" w:eastAsia="新細明體" w:hAnsi="新細明體"/>
              </w:rPr>
            </w:pPr>
          </w:p>
        </w:tc>
        <w:tc>
          <w:tcPr>
            <w:tcW w:w="1276" w:type="dxa"/>
            <w:vMerge/>
          </w:tcPr>
          <w:p w14:paraId="0831479A" w14:textId="77777777" w:rsidR="003B3105" w:rsidRDefault="003B3105" w:rsidP="001E533B">
            <w:pPr>
              <w:rPr>
                <w:rFonts w:ascii="新細明體" w:eastAsia="新細明體" w:hAnsi="新細明體"/>
              </w:rPr>
            </w:pPr>
          </w:p>
        </w:tc>
        <w:tc>
          <w:tcPr>
            <w:tcW w:w="5386" w:type="dxa"/>
            <w:tcBorders>
              <w:top w:val="nil"/>
              <w:bottom w:val="nil"/>
            </w:tcBorders>
          </w:tcPr>
          <w:p w14:paraId="65948E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(1)(刪除)</w:t>
            </w:r>
          </w:p>
        </w:tc>
        <w:tc>
          <w:tcPr>
            <w:tcW w:w="5387" w:type="dxa"/>
            <w:tcBorders>
              <w:top w:val="nil"/>
              <w:bottom w:val="nil"/>
            </w:tcBorders>
          </w:tcPr>
          <w:p w14:paraId="0F23F20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(1)(刪除)</w:t>
            </w:r>
          </w:p>
        </w:tc>
        <w:tc>
          <w:tcPr>
            <w:tcW w:w="2023" w:type="dxa"/>
            <w:vMerge/>
            <w:tcBorders>
              <w:right w:val="single" w:sz="12" w:space="0" w:color="auto"/>
            </w:tcBorders>
          </w:tcPr>
          <w:p w14:paraId="71087F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0EFF69" w14:textId="77777777">
        <w:tc>
          <w:tcPr>
            <w:tcW w:w="1384" w:type="dxa"/>
            <w:vMerge/>
            <w:tcBorders>
              <w:left w:val="single" w:sz="12" w:space="0" w:color="auto"/>
            </w:tcBorders>
          </w:tcPr>
          <w:p w14:paraId="0C7B07A7" w14:textId="77777777" w:rsidR="003B3105" w:rsidRDefault="003B3105" w:rsidP="001E533B">
            <w:pPr>
              <w:rPr>
                <w:rFonts w:ascii="新細明體" w:eastAsia="新細明體" w:hAnsi="新細明體"/>
              </w:rPr>
            </w:pPr>
          </w:p>
        </w:tc>
        <w:tc>
          <w:tcPr>
            <w:tcW w:w="1276" w:type="dxa"/>
            <w:vMerge/>
          </w:tcPr>
          <w:p w14:paraId="66E15314" w14:textId="77777777" w:rsidR="003B3105" w:rsidRDefault="003B3105" w:rsidP="001E533B">
            <w:pPr>
              <w:rPr>
                <w:rFonts w:ascii="新細明體" w:eastAsia="新細明體" w:hAnsi="新細明體"/>
              </w:rPr>
            </w:pPr>
          </w:p>
        </w:tc>
        <w:tc>
          <w:tcPr>
            <w:tcW w:w="5386" w:type="dxa"/>
            <w:tcBorders>
              <w:top w:val="nil"/>
              <w:bottom w:val="nil"/>
            </w:tcBorders>
          </w:tcPr>
          <w:p w14:paraId="6D3D160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(2)(刪除)</w:t>
            </w:r>
          </w:p>
        </w:tc>
        <w:tc>
          <w:tcPr>
            <w:tcW w:w="5387" w:type="dxa"/>
            <w:tcBorders>
              <w:top w:val="nil"/>
              <w:bottom w:val="nil"/>
            </w:tcBorders>
          </w:tcPr>
          <w:p w14:paraId="5B84179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(2)(刪除)</w:t>
            </w:r>
          </w:p>
        </w:tc>
        <w:tc>
          <w:tcPr>
            <w:tcW w:w="2023" w:type="dxa"/>
            <w:vMerge/>
            <w:tcBorders>
              <w:right w:val="single" w:sz="12" w:space="0" w:color="auto"/>
            </w:tcBorders>
          </w:tcPr>
          <w:p w14:paraId="7589C31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266444C" w14:textId="77777777">
        <w:tc>
          <w:tcPr>
            <w:tcW w:w="1384" w:type="dxa"/>
            <w:vMerge/>
            <w:tcBorders>
              <w:left w:val="single" w:sz="12" w:space="0" w:color="auto"/>
            </w:tcBorders>
          </w:tcPr>
          <w:p w14:paraId="77692AE5" w14:textId="77777777" w:rsidR="003B3105" w:rsidRDefault="003B3105" w:rsidP="001E533B">
            <w:pPr>
              <w:rPr>
                <w:rFonts w:ascii="新細明體" w:eastAsia="新細明體" w:hAnsi="新細明體"/>
              </w:rPr>
            </w:pPr>
          </w:p>
        </w:tc>
        <w:tc>
          <w:tcPr>
            <w:tcW w:w="1276" w:type="dxa"/>
            <w:vMerge/>
          </w:tcPr>
          <w:p w14:paraId="189F8589" w14:textId="77777777" w:rsidR="003B3105" w:rsidRDefault="003B3105" w:rsidP="001E533B">
            <w:pPr>
              <w:rPr>
                <w:rFonts w:ascii="新細明體" w:eastAsia="新細明體" w:hAnsi="新細明體"/>
              </w:rPr>
            </w:pPr>
          </w:p>
        </w:tc>
        <w:tc>
          <w:tcPr>
            <w:tcW w:w="5386" w:type="dxa"/>
            <w:tcBorders>
              <w:top w:val="nil"/>
              <w:bottom w:val="nil"/>
            </w:tcBorders>
          </w:tcPr>
          <w:p w14:paraId="3AD2937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(3)(刪除)</w:t>
            </w:r>
          </w:p>
        </w:tc>
        <w:tc>
          <w:tcPr>
            <w:tcW w:w="5387" w:type="dxa"/>
            <w:tcBorders>
              <w:top w:val="nil"/>
              <w:bottom w:val="nil"/>
            </w:tcBorders>
          </w:tcPr>
          <w:p w14:paraId="3B6F122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(3)(刪除)</w:t>
            </w:r>
          </w:p>
        </w:tc>
        <w:tc>
          <w:tcPr>
            <w:tcW w:w="2023" w:type="dxa"/>
            <w:vMerge/>
            <w:tcBorders>
              <w:right w:val="single" w:sz="12" w:space="0" w:color="auto"/>
            </w:tcBorders>
          </w:tcPr>
          <w:p w14:paraId="2F17E2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93E515" w14:textId="77777777">
        <w:tc>
          <w:tcPr>
            <w:tcW w:w="1384" w:type="dxa"/>
            <w:vMerge/>
            <w:tcBorders>
              <w:left w:val="single" w:sz="12" w:space="0" w:color="auto"/>
            </w:tcBorders>
          </w:tcPr>
          <w:p w14:paraId="6856EA8E" w14:textId="77777777" w:rsidR="003B3105" w:rsidRDefault="003B3105" w:rsidP="001E533B">
            <w:pPr>
              <w:rPr>
                <w:rFonts w:ascii="新細明體" w:eastAsia="新細明體" w:hAnsi="新細明體"/>
              </w:rPr>
            </w:pPr>
          </w:p>
        </w:tc>
        <w:tc>
          <w:tcPr>
            <w:tcW w:w="1276" w:type="dxa"/>
            <w:vMerge/>
          </w:tcPr>
          <w:p w14:paraId="69712658" w14:textId="77777777" w:rsidR="003B3105" w:rsidRDefault="003B3105" w:rsidP="001E533B">
            <w:pPr>
              <w:rPr>
                <w:rFonts w:ascii="新細明體" w:eastAsia="新細明體" w:hAnsi="新細明體"/>
              </w:rPr>
            </w:pPr>
          </w:p>
        </w:tc>
        <w:tc>
          <w:tcPr>
            <w:tcW w:w="5386" w:type="dxa"/>
            <w:tcBorders>
              <w:top w:val="nil"/>
              <w:bottom w:val="nil"/>
            </w:tcBorders>
          </w:tcPr>
          <w:p w14:paraId="34D8F93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(十一)成交回報：</w:t>
            </w:r>
          </w:p>
        </w:tc>
        <w:tc>
          <w:tcPr>
            <w:tcW w:w="5387" w:type="dxa"/>
            <w:tcBorders>
              <w:top w:val="nil"/>
              <w:bottom w:val="nil"/>
            </w:tcBorders>
          </w:tcPr>
          <w:p w14:paraId="02DDF83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(十一)成交回報：</w:t>
            </w:r>
          </w:p>
        </w:tc>
        <w:tc>
          <w:tcPr>
            <w:tcW w:w="2023" w:type="dxa"/>
            <w:vMerge/>
            <w:tcBorders>
              <w:right w:val="single" w:sz="12" w:space="0" w:color="auto"/>
            </w:tcBorders>
          </w:tcPr>
          <w:p w14:paraId="18874CA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64E8D8" w14:textId="77777777">
        <w:tc>
          <w:tcPr>
            <w:tcW w:w="1384" w:type="dxa"/>
            <w:vMerge/>
            <w:tcBorders>
              <w:left w:val="single" w:sz="12" w:space="0" w:color="auto"/>
            </w:tcBorders>
          </w:tcPr>
          <w:p w14:paraId="59C81545" w14:textId="77777777" w:rsidR="003B3105" w:rsidRDefault="003B3105" w:rsidP="001E533B">
            <w:pPr>
              <w:rPr>
                <w:rFonts w:ascii="新細明體" w:eastAsia="新細明體" w:hAnsi="新細明體"/>
              </w:rPr>
            </w:pPr>
          </w:p>
        </w:tc>
        <w:tc>
          <w:tcPr>
            <w:tcW w:w="1276" w:type="dxa"/>
            <w:vMerge/>
          </w:tcPr>
          <w:p w14:paraId="6BE4CC35" w14:textId="77777777" w:rsidR="003B3105" w:rsidRDefault="003B3105" w:rsidP="001E533B">
            <w:pPr>
              <w:rPr>
                <w:rFonts w:ascii="新細明體" w:eastAsia="新細明體" w:hAnsi="新細明體"/>
              </w:rPr>
            </w:pPr>
          </w:p>
        </w:tc>
        <w:tc>
          <w:tcPr>
            <w:tcW w:w="5386" w:type="dxa"/>
            <w:tcBorders>
              <w:top w:val="nil"/>
              <w:bottom w:val="nil"/>
            </w:tcBorders>
          </w:tcPr>
          <w:p w14:paraId="437B0CC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1.依據成交回報單核對委託書之委託買賣事項是否相符。</w:t>
            </w:r>
          </w:p>
        </w:tc>
        <w:tc>
          <w:tcPr>
            <w:tcW w:w="5387" w:type="dxa"/>
            <w:tcBorders>
              <w:top w:val="nil"/>
              <w:bottom w:val="nil"/>
            </w:tcBorders>
          </w:tcPr>
          <w:p w14:paraId="62A6347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1.依據成交回報單核對委託書之委託買賣事項是否相符。</w:t>
            </w:r>
          </w:p>
        </w:tc>
        <w:tc>
          <w:tcPr>
            <w:tcW w:w="2023" w:type="dxa"/>
            <w:vMerge/>
            <w:tcBorders>
              <w:right w:val="single" w:sz="12" w:space="0" w:color="auto"/>
            </w:tcBorders>
          </w:tcPr>
          <w:p w14:paraId="1D3885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F7FA1F" w14:textId="77777777">
        <w:tc>
          <w:tcPr>
            <w:tcW w:w="1384" w:type="dxa"/>
            <w:vMerge/>
            <w:tcBorders>
              <w:left w:val="single" w:sz="12" w:space="0" w:color="auto"/>
            </w:tcBorders>
          </w:tcPr>
          <w:p w14:paraId="66456C4D" w14:textId="77777777" w:rsidR="003B3105" w:rsidRDefault="003B3105" w:rsidP="001E533B">
            <w:pPr>
              <w:rPr>
                <w:rFonts w:ascii="新細明體" w:eastAsia="新細明體" w:hAnsi="新細明體"/>
              </w:rPr>
            </w:pPr>
          </w:p>
        </w:tc>
        <w:tc>
          <w:tcPr>
            <w:tcW w:w="1276" w:type="dxa"/>
            <w:vMerge/>
          </w:tcPr>
          <w:p w14:paraId="1058AAE8" w14:textId="77777777" w:rsidR="003B3105" w:rsidRDefault="003B3105" w:rsidP="001E533B">
            <w:pPr>
              <w:rPr>
                <w:rFonts w:ascii="新細明體" w:eastAsia="新細明體" w:hAnsi="新細明體"/>
              </w:rPr>
            </w:pPr>
          </w:p>
        </w:tc>
        <w:tc>
          <w:tcPr>
            <w:tcW w:w="5386" w:type="dxa"/>
            <w:tcBorders>
              <w:top w:val="nil"/>
              <w:bottom w:val="nil"/>
            </w:tcBorders>
          </w:tcPr>
          <w:p w14:paraId="34A12D1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2.買賣成交回報核對無誤後，是否即於委託書簽蓋「已成交」戳記及註明成交股數、價格、並即通知客戶。</w:t>
            </w:r>
          </w:p>
        </w:tc>
        <w:tc>
          <w:tcPr>
            <w:tcW w:w="5387" w:type="dxa"/>
            <w:tcBorders>
              <w:top w:val="nil"/>
              <w:bottom w:val="nil"/>
            </w:tcBorders>
          </w:tcPr>
          <w:p w14:paraId="264BCF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2.買賣成交回報核對無誤後，是否即於委託書簽蓋「已成交」戳記及註明成交股數、價格、並即通知客戶。</w:t>
            </w:r>
          </w:p>
        </w:tc>
        <w:tc>
          <w:tcPr>
            <w:tcW w:w="2023" w:type="dxa"/>
            <w:vMerge/>
            <w:tcBorders>
              <w:right w:val="single" w:sz="12" w:space="0" w:color="auto"/>
            </w:tcBorders>
          </w:tcPr>
          <w:p w14:paraId="455138A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DDEBC0E" w14:textId="77777777">
        <w:tc>
          <w:tcPr>
            <w:tcW w:w="1384" w:type="dxa"/>
            <w:vMerge/>
            <w:tcBorders>
              <w:left w:val="single" w:sz="12" w:space="0" w:color="auto"/>
            </w:tcBorders>
          </w:tcPr>
          <w:p w14:paraId="5F4356B8" w14:textId="77777777" w:rsidR="003B3105" w:rsidRDefault="003B3105" w:rsidP="001E533B">
            <w:pPr>
              <w:rPr>
                <w:rFonts w:ascii="新細明體" w:eastAsia="新細明體" w:hAnsi="新細明體"/>
              </w:rPr>
            </w:pPr>
          </w:p>
        </w:tc>
        <w:tc>
          <w:tcPr>
            <w:tcW w:w="1276" w:type="dxa"/>
            <w:vMerge/>
          </w:tcPr>
          <w:p w14:paraId="3562BA6B" w14:textId="77777777" w:rsidR="003B3105" w:rsidRDefault="003B3105" w:rsidP="001E533B">
            <w:pPr>
              <w:rPr>
                <w:rFonts w:ascii="新細明體" w:eastAsia="新細明體" w:hAnsi="新細明體"/>
              </w:rPr>
            </w:pPr>
          </w:p>
        </w:tc>
        <w:tc>
          <w:tcPr>
            <w:tcW w:w="5386" w:type="dxa"/>
            <w:tcBorders>
              <w:top w:val="nil"/>
              <w:bottom w:val="nil"/>
            </w:tcBorders>
          </w:tcPr>
          <w:p w14:paraId="279672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3.經核對買賣成交回報若有不符者，是否按受託買賣錯帳及更正帳號申報規定辦理。（註：本項查核併入AA-11230「受託買賣錯帳及更正帳號申報處理作業之稽核」每日隨案處理查核項目辦理）</w:t>
            </w:r>
          </w:p>
        </w:tc>
        <w:tc>
          <w:tcPr>
            <w:tcW w:w="5387" w:type="dxa"/>
            <w:tcBorders>
              <w:top w:val="nil"/>
              <w:bottom w:val="nil"/>
            </w:tcBorders>
          </w:tcPr>
          <w:p w14:paraId="51A3A0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3.經核對買賣成交回報若有不符者，是否按受託買賣錯帳及更正帳號申報規定辦理。（註：本項查核併入AA-11230「受託買賣錯帳及更正帳號申報處理作業之稽核」每日隨案處理查核項目辦理）</w:t>
            </w:r>
          </w:p>
        </w:tc>
        <w:tc>
          <w:tcPr>
            <w:tcW w:w="2023" w:type="dxa"/>
            <w:vMerge/>
            <w:tcBorders>
              <w:right w:val="single" w:sz="12" w:space="0" w:color="auto"/>
            </w:tcBorders>
          </w:tcPr>
          <w:p w14:paraId="0D4A139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266CE8" w14:textId="77777777">
        <w:tc>
          <w:tcPr>
            <w:tcW w:w="1384" w:type="dxa"/>
            <w:vMerge/>
            <w:tcBorders>
              <w:left w:val="single" w:sz="12" w:space="0" w:color="auto"/>
            </w:tcBorders>
          </w:tcPr>
          <w:p w14:paraId="14E15F5F" w14:textId="77777777" w:rsidR="003B3105" w:rsidRDefault="003B3105" w:rsidP="001E533B">
            <w:pPr>
              <w:rPr>
                <w:rFonts w:ascii="新細明體" w:eastAsia="新細明體" w:hAnsi="新細明體"/>
              </w:rPr>
            </w:pPr>
          </w:p>
        </w:tc>
        <w:tc>
          <w:tcPr>
            <w:tcW w:w="1276" w:type="dxa"/>
            <w:vMerge/>
          </w:tcPr>
          <w:p w14:paraId="251483C6" w14:textId="77777777" w:rsidR="003B3105" w:rsidRDefault="003B3105" w:rsidP="001E533B">
            <w:pPr>
              <w:rPr>
                <w:rFonts w:ascii="新細明體" w:eastAsia="新細明體" w:hAnsi="新細明體"/>
              </w:rPr>
            </w:pPr>
          </w:p>
        </w:tc>
        <w:tc>
          <w:tcPr>
            <w:tcW w:w="5386" w:type="dxa"/>
            <w:tcBorders>
              <w:top w:val="nil"/>
              <w:bottom w:val="nil"/>
            </w:tcBorders>
          </w:tcPr>
          <w:p w14:paraId="1F10089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(十二)內部人員交易：</w:t>
            </w:r>
          </w:p>
        </w:tc>
        <w:tc>
          <w:tcPr>
            <w:tcW w:w="5387" w:type="dxa"/>
            <w:tcBorders>
              <w:top w:val="nil"/>
              <w:bottom w:val="nil"/>
            </w:tcBorders>
          </w:tcPr>
          <w:p w14:paraId="4527460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(十二)內部人員交易：</w:t>
            </w:r>
          </w:p>
        </w:tc>
        <w:tc>
          <w:tcPr>
            <w:tcW w:w="2023" w:type="dxa"/>
            <w:vMerge/>
            <w:tcBorders>
              <w:right w:val="single" w:sz="12" w:space="0" w:color="auto"/>
            </w:tcBorders>
          </w:tcPr>
          <w:p w14:paraId="0EB64FF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C1D1545" w14:textId="77777777">
        <w:tc>
          <w:tcPr>
            <w:tcW w:w="1384" w:type="dxa"/>
            <w:vMerge/>
            <w:tcBorders>
              <w:left w:val="single" w:sz="12" w:space="0" w:color="auto"/>
            </w:tcBorders>
          </w:tcPr>
          <w:p w14:paraId="742CC044" w14:textId="77777777" w:rsidR="003B3105" w:rsidRDefault="003B3105" w:rsidP="001E533B">
            <w:pPr>
              <w:rPr>
                <w:rFonts w:ascii="新細明體" w:eastAsia="新細明體" w:hAnsi="新細明體"/>
              </w:rPr>
            </w:pPr>
          </w:p>
        </w:tc>
        <w:tc>
          <w:tcPr>
            <w:tcW w:w="1276" w:type="dxa"/>
            <w:vMerge/>
          </w:tcPr>
          <w:p w14:paraId="73D8F58D" w14:textId="77777777" w:rsidR="003B3105" w:rsidRDefault="003B3105" w:rsidP="001E533B">
            <w:pPr>
              <w:rPr>
                <w:rFonts w:ascii="新細明體" w:eastAsia="新細明體" w:hAnsi="新細明體"/>
              </w:rPr>
            </w:pPr>
          </w:p>
        </w:tc>
        <w:tc>
          <w:tcPr>
            <w:tcW w:w="5386" w:type="dxa"/>
            <w:tcBorders>
              <w:top w:val="nil"/>
              <w:bottom w:val="nil"/>
            </w:tcBorders>
          </w:tcPr>
          <w:p w14:paraId="655114F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1.內部人員是否限在公司內部開戶委託買賣（但公司董事、監察人及受僱人員三者之配偶及未成年子女，不在此限），並不得利用他人名義為之。</w:t>
            </w:r>
          </w:p>
        </w:tc>
        <w:tc>
          <w:tcPr>
            <w:tcW w:w="5387" w:type="dxa"/>
            <w:tcBorders>
              <w:top w:val="nil"/>
              <w:bottom w:val="nil"/>
            </w:tcBorders>
          </w:tcPr>
          <w:p w14:paraId="729D18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1.內部人員是否限在公司內部開戶委託買賣（但公司董事、監察人及受僱人員三者之配偶及未成年子女，不在此限），並不得利用他人名義為之。</w:t>
            </w:r>
          </w:p>
        </w:tc>
        <w:tc>
          <w:tcPr>
            <w:tcW w:w="2023" w:type="dxa"/>
            <w:vMerge/>
            <w:tcBorders>
              <w:right w:val="single" w:sz="12" w:space="0" w:color="auto"/>
            </w:tcBorders>
          </w:tcPr>
          <w:p w14:paraId="0FC679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995C4D" w14:textId="77777777">
        <w:tc>
          <w:tcPr>
            <w:tcW w:w="1384" w:type="dxa"/>
            <w:vMerge/>
            <w:tcBorders>
              <w:left w:val="single" w:sz="12" w:space="0" w:color="auto"/>
            </w:tcBorders>
          </w:tcPr>
          <w:p w14:paraId="12C5E637" w14:textId="77777777" w:rsidR="003B3105" w:rsidRDefault="003B3105" w:rsidP="001E533B">
            <w:pPr>
              <w:rPr>
                <w:rFonts w:ascii="新細明體" w:eastAsia="新細明體" w:hAnsi="新細明體"/>
              </w:rPr>
            </w:pPr>
          </w:p>
        </w:tc>
        <w:tc>
          <w:tcPr>
            <w:tcW w:w="1276" w:type="dxa"/>
            <w:vMerge/>
          </w:tcPr>
          <w:p w14:paraId="4D1D7FE8" w14:textId="77777777" w:rsidR="003B3105" w:rsidRDefault="003B3105" w:rsidP="001E533B">
            <w:pPr>
              <w:rPr>
                <w:rFonts w:ascii="新細明體" w:eastAsia="新細明體" w:hAnsi="新細明體"/>
              </w:rPr>
            </w:pPr>
          </w:p>
        </w:tc>
        <w:tc>
          <w:tcPr>
            <w:tcW w:w="5386" w:type="dxa"/>
            <w:tcBorders>
              <w:top w:val="nil"/>
              <w:bottom w:val="nil"/>
            </w:tcBorders>
          </w:tcPr>
          <w:p w14:paraId="7FC0BC6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2.公司內部人員之委託買賣是否由公司於成交後檢查其交易有無涉及未公開資訊情形，或與公司或其他客戶有利益衝突而有迴避之必要，並是否於內部控制制度中訂定檢查程序。</w:t>
            </w:r>
          </w:p>
        </w:tc>
        <w:tc>
          <w:tcPr>
            <w:tcW w:w="5387" w:type="dxa"/>
            <w:tcBorders>
              <w:top w:val="nil"/>
              <w:bottom w:val="nil"/>
            </w:tcBorders>
          </w:tcPr>
          <w:p w14:paraId="20087C1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2.公司內部人員之委託買賣是否由公司於成交後檢查其交易有無涉及未公開資訊情形，或與公司或其他客戶有利益衝突而有迴避之必要，並是否於內部控制制度中訂定檢查程序。</w:t>
            </w:r>
          </w:p>
        </w:tc>
        <w:tc>
          <w:tcPr>
            <w:tcW w:w="2023" w:type="dxa"/>
            <w:vMerge/>
            <w:tcBorders>
              <w:right w:val="single" w:sz="12" w:space="0" w:color="auto"/>
            </w:tcBorders>
          </w:tcPr>
          <w:p w14:paraId="008D02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951B3D" w14:textId="77777777">
        <w:tc>
          <w:tcPr>
            <w:tcW w:w="1384" w:type="dxa"/>
            <w:vMerge/>
            <w:tcBorders>
              <w:left w:val="single" w:sz="12" w:space="0" w:color="auto"/>
            </w:tcBorders>
          </w:tcPr>
          <w:p w14:paraId="6276DBA6" w14:textId="77777777" w:rsidR="003B3105" w:rsidRDefault="003B3105" w:rsidP="001E533B">
            <w:pPr>
              <w:rPr>
                <w:rFonts w:ascii="新細明體" w:eastAsia="新細明體" w:hAnsi="新細明體"/>
              </w:rPr>
            </w:pPr>
          </w:p>
        </w:tc>
        <w:tc>
          <w:tcPr>
            <w:tcW w:w="1276" w:type="dxa"/>
            <w:vMerge/>
          </w:tcPr>
          <w:p w14:paraId="04D56745" w14:textId="77777777" w:rsidR="003B3105" w:rsidRDefault="003B3105" w:rsidP="001E533B">
            <w:pPr>
              <w:rPr>
                <w:rFonts w:ascii="新細明體" w:eastAsia="新細明體" w:hAnsi="新細明體"/>
              </w:rPr>
            </w:pPr>
          </w:p>
        </w:tc>
        <w:tc>
          <w:tcPr>
            <w:tcW w:w="5386" w:type="dxa"/>
            <w:tcBorders>
              <w:top w:val="nil"/>
              <w:bottom w:val="nil"/>
            </w:tcBorders>
          </w:tcPr>
          <w:p w14:paraId="09E76E2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3.公司是否指定專人每日分別檢視當日下列內部人員(含總公司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之委託買賣明細及其權責可知悉客戶之委託買賣明細，以瞭解內部人員有無利用職務知悉之消息而發生利益衝突之情事，如有於短時間(前後5分鐘)內同方向買進或賣出相同標的者，是否請其出具說明書說明原因後陳送其權責主管審核，並留存相關紀錄。</w:t>
            </w:r>
          </w:p>
        </w:tc>
        <w:tc>
          <w:tcPr>
            <w:tcW w:w="5387" w:type="dxa"/>
            <w:tcBorders>
              <w:top w:val="nil"/>
              <w:bottom w:val="nil"/>
            </w:tcBorders>
          </w:tcPr>
          <w:p w14:paraId="0E7893F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3.公司是否指定專人每日分別檢視當日下列內部人員(含總</w:t>
            </w:r>
            <w:r>
              <w:rPr>
                <w:rFonts w:ascii="新細明體" w:eastAsia="新細明體" w:hAnsi="新細明體" w:cs="新細明體" w:hint="eastAsia"/>
                <w:b/>
                <w:color w:val="FF0000"/>
              </w:rPr>
              <w:t>分</w:t>
            </w:r>
            <w:r>
              <w:rPr>
                <w:rFonts w:ascii="新細明體" w:eastAsia="新細明體" w:hAnsi="新細明體" w:cs="新細明體" w:hint="eastAsia"/>
              </w:rPr>
              <w:t>公司)之委託買賣明細及其權責可知悉客戶之委託買賣明細，以瞭解內部人員有無利用職務知悉之消息而發生利益衝突之情事，如有於短時間(前後5分鐘)內同方向買進或賣出相同標的者，是否請其出具說明書說明原因後陳送其權責主管審核，並留存相關紀錄。</w:t>
            </w:r>
          </w:p>
        </w:tc>
        <w:tc>
          <w:tcPr>
            <w:tcW w:w="2023" w:type="dxa"/>
            <w:vMerge/>
            <w:tcBorders>
              <w:right w:val="single" w:sz="12" w:space="0" w:color="auto"/>
            </w:tcBorders>
          </w:tcPr>
          <w:p w14:paraId="42D182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290E5A" w14:textId="77777777">
        <w:tc>
          <w:tcPr>
            <w:tcW w:w="1384" w:type="dxa"/>
            <w:vMerge/>
            <w:tcBorders>
              <w:left w:val="single" w:sz="12" w:space="0" w:color="auto"/>
            </w:tcBorders>
          </w:tcPr>
          <w:p w14:paraId="4542E8A6" w14:textId="77777777" w:rsidR="003B3105" w:rsidRDefault="003B3105" w:rsidP="001E533B">
            <w:pPr>
              <w:rPr>
                <w:rFonts w:ascii="新細明體" w:eastAsia="新細明體" w:hAnsi="新細明體"/>
              </w:rPr>
            </w:pPr>
          </w:p>
        </w:tc>
        <w:tc>
          <w:tcPr>
            <w:tcW w:w="1276" w:type="dxa"/>
            <w:vMerge/>
          </w:tcPr>
          <w:p w14:paraId="32E3FAF4" w14:textId="77777777" w:rsidR="003B3105" w:rsidRDefault="003B3105" w:rsidP="001E533B">
            <w:pPr>
              <w:rPr>
                <w:rFonts w:ascii="新細明體" w:eastAsia="新細明體" w:hAnsi="新細明體"/>
              </w:rPr>
            </w:pPr>
          </w:p>
        </w:tc>
        <w:tc>
          <w:tcPr>
            <w:tcW w:w="5386" w:type="dxa"/>
            <w:tcBorders>
              <w:top w:val="nil"/>
              <w:bottom w:val="nil"/>
            </w:tcBorders>
          </w:tcPr>
          <w:p w14:paraId="6F1F238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(1)受託買賣業務人員、其配偶及未成年子女。</w:t>
            </w:r>
          </w:p>
        </w:tc>
        <w:tc>
          <w:tcPr>
            <w:tcW w:w="5387" w:type="dxa"/>
            <w:tcBorders>
              <w:top w:val="nil"/>
              <w:bottom w:val="nil"/>
            </w:tcBorders>
          </w:tcPr>
          <w:p w14:paraId="18A2D76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(1)受託買賣業務人員、其配偶及未成年子女。</w:t>
            </w:r>
          </w:p>
        </w:tc>
        <w:tc>
          <w:tcPr>
            <w:tcW w:w="2023" w:type="dxa"/>
            <w:vMerge/>
            <w:tcBorders>
              <w:right w:val="single" w:sz="12" w:space="0" w:color="auto"/>
            </w:tcBorders>
          </w:tcPr>
          <w:p w14:paraId="3A2F1AE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F79758" w14:textId="77777777">
        <w:tc>
          <w:tcPr>
            <w:tcW w:w="1384" w:type="dxa"/>
            <w:vMerge/>
            <w:tcBorders>
              <w:left w:val="single" w:sz="12" w:space="0" w:color="auto"/>
            </w:tcBorders>
          </w:tcPr>
          <w:p w14:paraId="0E187022" w14:textId="77777777" w:rsidR="003B3105" w:rsidRDefault="003B3105" w:rsidP="001E533B">
            <w:pPr>
              <w:rPr>
                <w:rFonts w:ascii="新細明體" w:eastAsia="新細明體" w:hAnsi="新細明體"/>
              </w:rPr>
            </w:pPr>
          </w:p>
        </w:tc>
        <w:tc>
          <w:tcPr>
            <w:tcW w:w="1276" w:type="dxa"/>
            <w:vMerge/>
          </w:tcPr>
          <w:p w14:paraId="5A928F3C" w14:textId="77777777" w:rsidR="003B3105" w:rsidRDefault="003B3105" w:rsidP="001E533B">
            <w:pPr>
              <w:rPr>
                <w:rFonts w:ascii="新細明體" w:eastAsia="新細明體" w:hAnsi="新細明體"/>
              </w:rPr>
            </w:pPr>
          </w:p>
        </w:tc>
        <w:tc>
          <w:tcPr>
            <w:tcW w:w="5386" w:type="dxa"/>
            <w:tcBorders>
              <w:top w:val="nil"/>
              <w:bottom w:val="nil"/>
            </w:tcBorders>
          </w:tcPr>
          <w:p w14:paraId="438DC43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(2)除受託買賣業務人員以外所有內部人員、其配偶及未成年子女。</w:t>
            </w:r>
          </w:p>
        </w:tc>
        <w:tc>
          <w:tcPr>
            <w:tcW w:w="5387" w:type="dxa"/>
            <w:tcBorders>
              <w:top w:val="nil"/>
              <w:bottom w:val="nil"/>
            </w:tcBorders>
          </w:tcPr>
          <w:p w14:paraId="30AC6C0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(2)除受託買賣業務人員以外所有內部人員、其配偶及未成年子女。</w:t>
            </w:r>
          </w:p>
        </w:tc>
        <w:tc>
          <w:tcPr>
            <w:tcW w:w="2023" w:type="dxa"/>
            <w:vMerge/>
            <w:tcBorders>
              <w:right w:val="single" w:sz="12" w:space="0" w:color="auto"/>
            </w:tcBorders>
          </w:tcPr>
          <w:p w14:paraId="61B86B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B634C0" w14:textId="77777777">
        <w:tc>
          <w:tcPr>
            <w:tcW w:w="1384" w:type="dxa"/>
            <w:vMerge/>
            <w:tcBorders>
              <w:left w:val="single" w:sz="12" w:space="0" w:color="auto"/>
            </w:tcBorders>
          </w:tcPr>
          <w:p w14:paraId="0775F90B" w14:textId="77777777" w:rsidR="003B3105" w:rsidRDefault="003B3105" w:rsidP="001E533B">
            <w:pPr>
              <w:rPr>
                <w:rFonts w:ascii="新細明體" w:eastAsia="新細明體" w:hAnsi="新細明體"/>
              </w:rPr>
            </w:pPr>
          </w:p>
        </w:tc>
        <w:tc>
          <w:tcPr>
            <w:tcW w:w="1276" w:type="dxa"/>
            <w:vMerge/>
          </w:tcPr>
          <w:p w14:paraId="53DFC807" w14:textId="77777777" w:rsidR="003B3105" w:rsidRDefault="003B3105" w:rsidP="001E533B">
            <w:pPr>
              <w:rPr>
                <w:rFonts w:ascii="新細明體" w:eastAsia="新細明體" w:hAnsi="新細明體"/>
              </w:rPr>
            </w:pPr>
          </w:p>
        </w:tc>
        <w:tc>
          <w:tcPr>
            <w:tcW w:w="5386" w:type="dxa"/>
            <w:tcBorders>
              <w:top w:val="nil"/>
              <w:bottom w:val="nil"/>
            </w:tcBorders>
          </w:tcPr>
          <w:p w14:paraId="4B0994C0"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前項內部人員之委託買賣明細得排除下列標的或交易：</w:t>
            </w:r>
          </w:p>
        </w:tc>
        <w:tc>
          <w:tcPr>
            <w:tcW w:w="5387" w:type="dxa"/>
            <w:tcBorders>
              <w:top w:val="nil"/>
              <w:bottom w:val="nil"/>
            </w:tcBorders>
          </w:tcPr>
          <w:p w14:paraId="499C6C48"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前項內部人員之委託買賣明細得排除下列標的或交易：</w:t>
            </w:r>
          </w:p>
        </w:tc>
        <w:tc>
          <w:tcPr>
            <w:tcW w:w="2023" w:type="dxa"/>
            <w:vMerge/>
            <w:tcBorders>
              <w:right w:val="single" w:sz="12" w:space="0" w:color="auto"/>
            </w:tcBorders>
          </w:tcPr>
          <w:p w14:paraId="10F2DA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03EEF1" w14:textId="77777777">
        <w:tc>
          <w:tcPr>
            <w:tcW w:w="1384" w:type="dxa"/>
            <w:vMerge/>
            <w:tcBorders>
              <w:left w:val="single" w:sz="12" w:space="0" w:color="auto"/>
            </w:tcBorders>
          </w:tcPr>
          <w:p w14:paraId="1C127D13" w14:textId="77777777" w:rsidR="003B3105" w:rsidRDefault="003B3105" w:rsidP="001E533B">
            <w:pPr>
              <w:rPr>
                <w:rFonts w:ascii="新細明體" w:eastAsia="新細明體" w:hAnsi="新細明體"/>
              </w:rPr>
            </w:pPr>
          </w:p>
        </w:tc>
        <w:tc>
          <w:tcPr>
            <w:tcW w:w="1276" w:type="dxa"/>
            <w:vMerge/>
          </w:tcPr>
          <w:p w14:paraId="0C54F4C8" w14:textId="77777777" w:rsidR="003B3105" w:rsidRDefault="003B3105" w:rsidP="001E533B">
            <w:pPr>
              <w:rPr>
                <w:rFonts w:ascii="新細明體" w:eastAsia="新細明體" w:hAnsi="新細明體"/>
              </w:rPr>
            </w:pPr>
          </w:p>
        </w:tc>
        <w:tc>
          <w:tcPr>
            <w:tcW w:w="5386" w:type="dxa"/>
            <w:tcBorders>
              <w:top w:val="nil"/>
              <w:bottom w:val="nil"/>
            </w:tcBorders>
          </w:tcPr>
          <w:p w14:paraId="323F5CF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(3)初次上市櫃首五日無漲跌幅限制之股票。</w:t>
            </w:r>
          </w:p>
        </w:tc>
        <w:tc>
          <w:tcPr>
            <w:tcW w:w="5387" w:type="dxa"/>
            <w:tcBorders>
              <w:top w:val="nil"/>
              <w:bottom w:val="nil"/>
            </w:tcBorders>
          </w:tcPr>
          <w:p w14:paraId="43DD83E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(3)初次上市櫃首五日無漲跌幅限制之股票。</w:t>
            </w:r>
          </w:p>
        </w:tc>
        <w:tc>
          <w:tcPr>
            <w:tcW w:w="2023" w:type="dxa"/>
            <w:vMerge/>
            <w:tcBorders>
              <w:right w:val="single" w:sz="12" w:space="0" w:color="auto"/>
            </w:tcBorders>
          </w:tcPr>
          <w:p w14:paraId="241A4C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671A71" w14:textId="77777777">
        <w:tc>
          <w:tcPr>
            <w:tcW w:w="1384" w:type="dxa"/>
            <w:vMerge/>
            <w:tcBorders>
              <w:left w:val="single" w:sz="12" w:space="0" w:color="auto"/>
            </w:tcBorders>
          </w:tcPr>
          <w:p w14:paraId="51F2448E" w14:textId="77777777" w:rsidR="003B3105" w:rsidRDefault="003B3105" w:rsidP="001E533B">
            <w:pPr>
              <w:rPr>
                <w:rFonts w:ascii="新細明體" w:eastAsia="新細明體" w:hAnsi="新細明體"/>
              </w:rPr>
            </w:pPr>
          </w:p>
        </w:tc>
        <w:tc>
          <w:tcPr>
            <w:tcW w:w="1276" w:type="dxa"/>
            <w:vMerge/>
          </w:tcPr>
          <w:p w14:paraId="563CCD7B" w14:textId="77777777" w:rsidR="003B3105" w:rsidRDefault="003B3105" w:rsidP="001E533B">
            <w:pPr>
              <w:rPr>
                <w:rFonts w:ascii="新細明體" w:eastAsia="新細明體" w:hAnsi="新細明體"/>
              </w:rPr>
            </w:pPr>
          </w:p>
        </w:tc>
        <w:tc>
          <w:tcPr>
            <w:tcW w:w="5386" w:type="dxa"/>
            <w:tcBorders>
              <w:top w:val="nil"/>
              <w:bottom w:val="nil"/>
            </w:tcBorders>
          </w:tcPr>
          <w:p w14:paraId="75A3D5F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(4)零股交易。</w:t>
            </w:r>
          </w:p>
        </w:tc>
        <w:tc>
          <w:tcPr>
            <w:tcW w:w="5387" w:type="dxa"/>
            <w:tcBorders>
              <w:top w:val="nil"/>
              <w:bottom w:val="nil"/>
            </w:tcBorders>
          </w:tcPr>
          <w:p w14:paraId="2954C00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(4)零股交易。</w:t>
            </w:r>
          </w:p>
        </w:tc>
        <w:tc>
          <w:tcPr>
            <w:tcW w:w="2023" w:type="dxa"/>
            <w:vMerge/>
            <w:tcBorders>
              <w:right w:val="single" w:sz="12" w:space="0" w:color="auto"/>
            </w:tcBorders>
          </w:tcPr>
          <w:p w14:paraId="335859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B21DD1" w14:textId="77777777">
        <w:tc>
          <w:tcPr>
            <w:tcW w:w="1384" w:type="dxa"/>
            <w:vMerge/>
            <w:tcBorders>
              <w:left w:val="single" w:sz="12" w:space="0" w:color="auto"/>
            </w:tcBorders>
          </w:tcPr>
          <w:p w14:paraId="116E4CBA" w14:textId="77777777" w:rsidR="003B3105" w:rsidRDefault="003B3105" w:rsidP="001E533B">
            <w:pPr>
              <w:rPr>
                <w:rFonts w:ascii="新細明體" w:eastAsia="新細明體" w:hAnsi="新細明體"/>
              </w:rPr>
            </w:pPr>
          </w:p>
        </w:tc>
        <w:tc>
          <w:tcPr>
            <w:tcW w:w="1276" w:type="dxa"/>
            <w:vMerge/>
          </w:tcPr>
          <w:p w14:paraId="4F822FB8" w14:textId="77777777" w:rsidR="003B3105" w:rsidRDefault="003B3105" w:rsidP="001E533B">
            <w:pPr>
              <w:rPr>
                <w:rFonts w:ascii="新細明體" w:eastAsia="新細明體" w:hAnsi="新細明體"/>
              </w:rPr>
            </w:pPr>
          </w:p>
        </w:tc>
        <w:tc>
          <w:tcPr>
            <w:tcW w:w="5386" w:type="dxa"/>
            <w:tcBorders>
              <w:top w:val="nil"/>
              <w:bottom w:val="nil"/>
            </w:tcBorders>
          </w:tcPr>
          <w:p w14:paraId="506D8FD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(5)盤前預約單。</w:t>
            </w:r>
          </w:p>
        </w:tc>
        <w:tc>
          <w:tcPr>
            <w:tcW w:w="5387" w:type="dxa"/>
            <w:tcBorders>
              <w:top w:val="nil"/>
              <w:bottom w:val="nil"/>
            </w:tcBorders>
          </w:tcPr>
          <w:p w14:paraId="16351251"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(5)盤前預約單。</w:t>
            </w:r>
          </w:p>
        </w:tc>
        <w:tc>
          <w:tcPr>
            <w:tcW w:w="2023" w:type="dxa"/>
            <w:vMerge/>
            <w:tcBorders>
              <w:right w:val="single" w:sz="12" w:space="0" w:color="auto"/>
            </w:tcBorders>
          </w:tcPr>
          <w:p w14:paraId="0D0C58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F9F1BE3" w14:textId="77777777">
        <w:tc>
          <w:tcPr>
            <w:tcW w:w="1384" w:type="dxa"/>
            <w:vMerge/>
            <w:tcBorders>
              <w:left w:val="single" w:sz="12" w:space="0" w:color="auto"/>
            </w:tcBorders>
          </w:tcPr>
          <w:p w14:paraId="252EAD46" w14:textId="77777777" w:rsidR="003B3105" w:rsidRDefault="003B3105" w:rsidP="001E533B">
            <w:pPr>
              <w:rPr>
                <w:rFonts w:ascii="新細明體" w:eastAsia="新細明體" w:hAnsi="新細明體"/>
              </w:rPr>
            </w:pPr>
          </w:p>
        </w:tc>
        <w:tc>
          <w:tcPr>
            <w:tcW w:w="1276" w:type="dxa"/>
            <w:vMerge/>
          </w:tcPr>
          <w:p w14:paraId="0ABA21D0" w14:textId="77777777" w:rsidR="003B3105" w:rsidRDefault="003B3105" w:rsidP="001E533B">
            <w:pPr>
              <w:rPr>
                <w:rFonts w:ascii="新細明體" w:eastAsia="新細明體" w:hAnsi="新細明體"/>
              </w:rPr>
            </w:pPr>
          </w:p>
        </w:tc>
        <w:tc>
          <w:tcPr>
            <w:tcW w:w="5386" w:type="dxa"/>
            <w:tcBorders>
              <w:top w:val="nil"/>
              <w:bottom w:val="nil"/>
            </w:tcBorders>
          </w:tcPr>
          <w:p w14:paraId="21AFD1B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(6)盤後定價交易。</w:t>
            </w:r>
          </w:p>
        </w:tc>
        <w:tc>
          <w:tcPr>
            <w:tcW w:w="5387" w:type="dxa"/>
            <w:tcBorders>
              <w:top w:val="nil"/>
              <w:bottom w:val="nil"/>
            </w:tcBorders>
          </w:tcPr>
          <w:p w14:paraId="710C8F2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(6)盤後定價交易。</w:t>
            </w:r>
          </w:p>
        </w:tc>
        <w:tc>
          <w:tcPr>
            <w:tcW w:w="2023" w:type="dxa"/>
            <w:vMerge/>
            <w:tcBorders>
              <w:right w:val="single" w:sz="12" w:space="0" w:color="auto"/>
            </w:tcBorders>
          </w:tcPr>
          <w:p w14:paraId="09DC9D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6AEAD7" w14:textId="77777777">
        <w:tc>
          <w:tcPr>
            <w:tcW w:w="1384" w:type="dxa"/>
            <w:vMerge/>
            <w:tcBorders>
              <w:left w:val="single" w:sz="12" w:space="0" w:color="auto"/>
            </w:tcBorders>
          </w:tcPr>
          <w:p w14:paraId="45FDBFD0" w14:textId="77777777" w:rsidR="003B3105" w:rsidRDefault="003B3105" w:rsidP="001E533B">
            <w:pPr>
              <w:rPr>
                <w:rFonts w:ascii="新細明體" w:eastAsia="新細明體" w:hAnsi="新細明體"/>
              </w:rPr>
            </w:pPr>
          </w:p>
        </w:tc>
        <w:tc>
          <w:tcPr>
            <w:tcW w:w="1276" w:type="dxa"/>
            <w:vMerge/>
          </w:tcPr>
          <w:p w14:paraId="32B45B37" w14:textId="77777777" w:rsidR="003B3105" w:rsidRDefault="003B3105" w:rsidP="001E533B">
            <w:pPr>
              <w:rPr>
                <w:rFonts w:ascii="新細明體" w:eastAsia="新細明體" w:hAnsi="新細明體"/>
              </w:rPr>
            </w:pPr>
          </w:p>
        </w:tc>
        <w:tc>
          <w:tcPr>
            <w:tcW w:w="5386" w:type="dxa"/>
            <w:tcBorders>
              <w:top w:val="nil"/>
              <w:bottom w:val="nil"/>
            </w:tcBorders>
          </w:tcPr>
          <w:p w14:paraId="4C1C1FD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(7)早於客戶電子委託下單時間之委託。</w:t>
            </w:r>
          </w:p>
        </w:tc>
        <w:tc>
          <w:tcPr>
            <w:tcW w:w="5387" w:type="dxa"/>
            <w:tcBorders>
              <w:top w:val="nil"/>
              <w:bottom w:val="nil"/>
            </w:tcBorders>
          </w:tcPr>
          <w:p w14:paraId="6DFEC3F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(7)早於客戶電子委託下單時間之委託。</w:t>
            </w:r>
          </w:p>
        </w:tc>
        <w:tc>
          <w:tcPr>
            <w:tcW w:w="2023" w:type="dxa"/>
            <w:vMerge/>
            <w:tcBorders>
              <w:right w:val="single" w:sz="12" w:space="0" w:color="auto"/>
            </w:tcBorders>
          </w:tcPr>
          <w:p w14:paraId="61B199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FD85FBE" w14:textId="77777777">
        <w:tc>
          <w:tcPr>
            <w:tcW w:w="1384" w:type="dxa"/>
            <w:vMerge/>
            <w:tcBorders>
              <w:left w:val="single" w:sz="12" w:space="0" w:color="auto"/>
            </w:tcBorders>
          </w:tcPr>
          <w:p w14:paraId="21C040D4" w14:textId="77777777" w:rsidR="003B3105" w:rsidRDefault="003B3105" w:rsidP="001E533B">
            <w:pPr>
              <w:rPr>
                <w:rFonts w:ascii="新細明體" w:eastAsia="新細明體" w:hAnsi="新細明體"/>
              </w:rPr>
            </w:pPr>
          </w:p>
        </w:tc>
        <w:tc>
          <w:tcPr>
            <w:tcW w:w="1276" w:type="dxa"/>
            <w:vMerge/>
          </w:tcPr>
          <w:p w14:paraId="6783CF44" w14:textId="77777777" w:rsidR="003B3105" w:rsidRDefault="003B3105" w:rsidP="001E533B">
            <w:pPr>
              <w:rPr>
                <w:rFonts w:ascii="新細明體" w:eastAsia="新細明體" w:hAnsi="新細明體"/>
              </w:rPr>
            </w:pPr>
          </w:p>
        </w:tc>
        <w:tc>
          <w:tcPr>
            <w:tcW w:w="5386" w:type="dxa"/>
            <w:tcBorders>
              <w:top w:val="nil"/>
              <w:bottom w:val="nil"/>
            </w:tcBorders>
          </w:tcPr>
          <w:p w14:paraId="46B36421"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發現有利益衝突情事者，是否依公司相關規定予以處置。</w:t>
            </w:r>
          </w:p>
        </w:tc>
        <w:tc>
          <w:tcPr>
            <w:tcW w:w="5387" w:type="dxa"/>
            <w:tcBorders>
              <w:top w:val="nil"/>
              <w:bottom w:val="nil"/>
            </w:tcBorders>
          </w:tcPr>
          <w:p w14:paraId="6B152C90"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發現有利益衝突情事者，是否依公司相關規定予以處置。</w:t>
            </w:r>
          </w:p>
        </w:tc>
        <w:tc>
          <w:tcPr>
            <w:tcW w:w="2023" w:type="dxa"/>
            <w:vMerge/>
            <w:tcBorders>
              <w:right w:val="single" w:sz="12" w:space="0" w:color="auto"/>
            </w:tcBorders>
          </w:tcPr>
          <w:p w14:paraId="265B83B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93428A" w14:textId="77777777">
        <w:tc>
          <w:tcPr>
            <w:tcW w:w="1384" w:type="dxa"/>
            <w:vMerge/>
            <w:tcBorders>
              <w:left w:val="single" w:sz="12" w:space="0" w:color="auto"/>
            </w:tcBorders>
          </w:tcPr>
          <w:p w14:paraId="4ADDBD36" w14:textId="77777777" w:rsidR="003B3105" w:rsidRDefault="003B3105" w:rsidP="001E533B">
            <w:pPr>
              <w:rPr>
                <w:rFonts w:ascii="新細明體" w:eastAsia="新細明體" w:hAnsi="新細明體"/>
              </w:rPr>
            </w:pPr>
          </w:p>
        </w:tc>
        <w:tc>
          <w:tcPr>
            <w:tcW w:w="1276" w:type="dxa"/>
            <w:vMerge/>
          </w:tcPr>
          <w:p w14:paraId="37B09B82" w14:textId="77777777" w:rsidR="003B3105" w:rsidRDefault="003B3105" w:rsidP="001E533B">
            <w:pPr>
              <w:rPr>
                <w:rFonts w:ascii="新細明體" w:eastAsia="新細明體" w:hAnsi="新細明體"/>
              </w:rPr>
            </w:pPr>
          </w:p>
        </w:tc>
        <w:tc>
          <w:tcPr>
            <w:tcW w:w="5386" w:type="dxa"/>
            <w:tcBorders>
              <w:top w:val="nil"/>
              <w:bottom w:val="nil"/>
            </w:tcBorders>
          </w:tcPr>
          <w:p w14:paraId="0D4A8A5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營業員如知悉內部人員及證券交易輔助人之內部人員有利用他人名義買賣時，是否拒絕接受其委託買賣，並通知受託買賣主管處理。營業員除自行以電子式交易外，是否未受理自身及依證交所營業細則第七十五條第一項第四款、櫃檯買賣中心證券商營業處所買賣有價證券業務規則第四十五條之一第一項所代理帳戶之委託交易。</w:t>
            </w:r>
          </w:p>
        </w:tc>
        <w:tc>
          <w:tcPr>
            <w:tcW w:w="5387" w:type="dxa"/>
            <w:tcBorders>
              <w:top w:val="nil"/>
              <w:bottom w:val="nil"/>
            </w:tcBorders>
          </w:tcPr>
          <w:p w14:paraId="7FAAFE3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營業員如知悉內部人員及證券交易輔助人之內部人員有利用他人名義買賣時，是否拒絕接受其委託買賣，並通知受託買賣主管處理。營業員除自行以電子式交易外，是否未受理自身及依證交所營業細則第七十五條第一項第四款、櫃檯買賣中心證券商營業處所買賣有價證券業務規則第四十五條之一第一項所代理帳戶之委託交易。</w:t>
            </w:r>
          </w:p>
        </w:tc>
        <w:tc>
          <w:tcPr>
            <w:tcW w:w="2023" w:type="dxa"/>
            <w:vMerge/>
            <w:tcBorders>
              <w:right w:val="single" w:sz="12" w:space="0" w:color="auto"/>
            </w:tcBorders>
          </w:tcPr>
          <w:p w14:paraId="5DE70AB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201238" w14:textId="77777777">
        <w:tc>
          <w:tcPr>
            <w:tcW w:w="1384" w:type="dxa"/>
            <w:vMerge/>
            <w:tcBorders>
              <w:left w:val="single" w:sz="12" w:space="0" w:color="auto"/>
            </w:tcBorders>
          </w:tcPr>
          <w:p w14:paraId="436C47C1" w14:textId="77777777" w:rsidR="003B3105" w:rsidRDefault="003B3105" w:rsidP="001E533B">
            <w:pPr>
              <w:rPr>
                <w:rFonts w:ascii="新細明體" w:eastAsia="新細明體" w:hAnsi="新細明體"/>
              </w:rPr>
            </w:pPr>
          </w:p>
        </w:tc>
        <w:tc>
          <w:tcPr>
            <w:tcW w:w="1276" w:type="dxa"/>
            <w:vMerge/>
          </w:tcPr>
          <w:p w14:paraId="2C09839E" w14:textId="77777777" w:rsidR="003B3105" w:rsidRDefault="003B3105" w:rsidP="001E533B">
            <w:pPr>
              <w:rPr>
                <w:rFonts w:ascii="新細明體" w:eastAsia="新細明體" w:hAnsi="新細明體"/>
              </w:rPr>
            </w:pPr>
          </w:p>
        </w:tc>
        <w:tc>
          <w:tcPr>
            <w:tcW w:w="5386" w:type="dxa"/>
            <w:tcBorders>
              <w:top w:val="nil"/>
              <w:bottom w:val="nil"/>
            </w:tcBorders>
          </w:tcPr>
          <w:p w14:paraId="040B095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5.內部人員獲悉承銷部門出售其包銷取得之股票或自營部門欲為買賣股票種類者，於承銷部門出售或自營部門買賣前，是否未為同種類股票之買賣委託。</w:t>
            </w:r>
          </w:p>
        </w:tc>
        <w:tc>
          <w:tcPr>
            <w:tcW w:w="5387" w:type="dxa"/>
            <w:tcBorders>
              <w:top w:val="nil"/>
              <w:bottom w:val="nil"/>
            </w:tcBorders>
          </w:tcPr>
          <w:p w14:paraId="3671DFE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5.內部人員獲悉承銷部門出售其包銷取得之股票或自營部門欲為買賣股票種類者，於承銷部門出售或自營部門買賣前，是否未為同種類股票之買賣委託。</w:t>
            </w:r>
          </w:p>
        </w:tc>
        <w:tc>
          <w:tcPr>
            <w:tcW w:w="2023" w:type="dxa"/>
            <w:vMerge/>
            <w:tcBorders>
              <w:right w:val="single" w:sz="12" w:space="0" w:color="auto"/>
            </w:tcBorders>
          </w:tcPr>
          <w:p w14:paraId="49A7EC4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5377D2" w14:textId="77777777">
        <w:tc>
          <w:tcPr>
            <w:tcW w:w="1384" w:type="dxa"/>
            <w:vMerge/>
            <w:tcBorders>
              <w:left w:val="single" w:sz="12" w:space="0" w:color="auto"/>
            </w:tcBorders>
          </w:tcPr>
          <w:p w14:paraId="4B67D18C" w14:textId="77777777" w:rsidR="003B3105" w:rsidRDefault="003B3105" w:rsidP="001E533B">
            <w:pPr>
              <w:rPr>
                <w:rFonts w:ascii="新細明體" w:eastAsia="新細明體" w:hAnsi="新細明體"/>
              </w:rPr>
            </w:pPr>
          </w:p>
        </w:tc>
        <w:tc>
          <w:tcPr>
            <w:tcW w:w="1276" w:type="dxa"/>
            <w:vMerge/>
          </w:tcPr>
          <w:p w14:paraId="68DED494" w14:textId="77777777" w:rsidR="003B3105" w:rsidRDefault="003B3105" w:rsidP="001E533B">
            <w:pPr>
              <w:rPr>
                <w:rFonts w:ascii="新細明體" w:eastAsia="新細明體" w:hAnsi="新細明體"/>
              </w:rPr>
            </w:pPr>
          </w:p>
        </w:tc>
        <w:tc>
          <w:tcPr>
            <w:tcW w:w="5386" w:type="dxa"/>
            <w:tcBorders>
              <w:top w:val="nil"/>
              <w:bottom w:val="nil"/>
            </w:tcBorders>
          </w:tcPr>
          <w:p w14:paraId="478E211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6.內部人員在所屬公司從事信用交易，公司對內部人員之開戶徵信管理及風險控管作業是否包含規定之控管事項。</w:t>
            </w:r>
          </w:p>
        </w:tc>
        <w:tc>
          <w:tcPr>
            <w:tcW w:w="5387" w:type="dxa"/>
            <w:tcBorders>
              <w:top w:val="nil"/>
              <w:bottom w:val="nil"/>
            </w:tcBorders>
          </w:tcPr>
          <w:p w14:paraId="329905D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6.內部人員在所屬公司從事信用交易，公司對內部人員之開戶徵信管理及風險控管作業是否包含規定之控管事項。</w:t>
            </w:r>
          </w:p>
        </w:tc>
        <w:tc>
          <w:tcPr>
            <w:tcW w:w="2023" w:type="dxa"/>
            <w:vMerge/>
            <w:tcBorders>
              <w:right w:val="single" w:sz="12" w:space="0" w:color="auto"/>
            </w:tcBorders>
          </w:tcPr>
          <w:p w14:paraId="3382CF3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B143CD" w14:textId="77777777">
        <w:tc>
          <w:tcPr>
            <w:tcW w:w="1384" w:type="dxa"/>
            <w:vMerge/>
            <w:tcBorders>
              <w:left w:val="single" w:sz="12" w:space="0" w:color="auto"/>
            </w:tcBorders>
          </w:tcPr>
          <w:p w14:paraId="69289824" w14:textId="77777777" w:rsidR="003B3105" w:rsidRDefault="003B3105" w:rsidP="001E533B">
            <w:pPr>
              <w:rPr>
                <w:rFonts w:ascii="新細明體" w:eastAsia="新細明體" w:hAnsi="新細明體"/>
              </w:rPr>
            </w:pPr>
          </w:p>
        </w:tc>
        <w:tc>
          <w:tcPr>
            <w:tcW w:w="1276" w:type="dxa"/>
            <w:vMerge/>
          </w:tcPr>
          <w:p w14:paraId="556189A6" w14:textId="77777777" w:rsidR="003B3105" w:rsidRDefault="003B3105" w:rsidP="001E533B">
            <w:pPr>
              <w:rPr>
                <w:rFonts w:ascii="新細明體" w:eastAsia="新細明體" w:hAnsi="新細明體"/>
              </w:rPr>
            </w:pPr>
          </w:p>
        </w:tc>
        <w:tc>
          <w:tcPr>
            <w:tcW w:w="5386" w:type="dxa"/>
            <w:tcBorders>
              <w:top w:val="nil"/>
              <w:bottom w:val="nil"/>
            </w:tcBorders>
          </w:tcPr>
          <w:p w14:paraId="19EA86B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7.對於內部人員委託買賣之相關憑證是否與其他客戶分別保管。</w:t>
            </w:r>
          </w:p>
        </w:tc>
        <w:tc>
          <w:tcPr>
            <w:tcW w:w="5387" w:type="dxa"/>
            <w:tcBorders>
              <w:top w:val="nil"/>
              <w:bottom w:val="nil"/>
            </w:tcBorders>
          </w:tcPr>
          <w:p w14:paraId="553ED3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7.對於內部人員委託買賣之相關憑證是否與其他客戶分別保管。</w:t>
            </w:r>
          </w:p>
        </w:tc>
        <w:tc>
          <w:tcPr>
            <w:tcW w:w="2023" w:type="dxa"/>
            <w:vMerge/>
            <w:tcBorders>
              <w:right w:val="single" w:sz="12" w:space="0" w:color="auto"/>
            </w:tcBorders>
          </w:tcPr>
          <w:p w14:paraId="663378E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B7E1B1" w14:textId="77777777">
        <w:tc>
          <w:tcPr>
            <w:tcW w:w="1384" w:type="dxa"/>
            <w:vMerge/>
            <w:tcBorders>
              <w:left w:val="single" w:sz="12" w:space="0" w:color="auto"/>
            </w:tcBorders>
          </w:tcPr>
          <w:p w14:paraId="2E82F72D" w14:textId="77777777" w:rsidR="003B3105" w:rsidRDefault="003B3105" w:rsidP="001E533B">
            <w:pPr>
              <w:rPr>
                <w:rFonts w:ascii="新細明體" w:eastAsia="新細明體" w:hAnsi="新細明體"/>
              </w:rPr>
            </w:pPr>
          </w:p>
        </w:tc>
        <w:tc>
          <w:tcPr>
            <w:tcW w:w="1276" w:type="dxa"/>
            <w:vMerge/>
          </w:tcPr>
          <w:p w14:paraId="71513BCE" w14:textId="77777777" w:rsidR="003B3105" w:rsidRDefault="003B3105" w:rsidP="001E533B">
            <w:pPr>
              <w:rPr>
                <w:rFonts w:ascii="新細明體" w:eastAsia="新細明體" w:hAnsi="新細明體"/>
              </w:rPr>
            </w:pPr>
          </w:p>
        </w:tc>
        <w:tc>
          <w:tcPr>
            <w:tcW w:w="5386" w:type="dxa"/>
            <w:tcBorders>
              <w:top w:val="nil"/>
              <w:bottom w:val="nil"/>
            </w:tcBorders>
          </w:tcPr>
          <w:p w14:paraId="5470527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8.公司之法人董事、監察人如係金融機構者，因從事信託或授信業務需要，得於其他公司開立證券交易帳戶，不受證交所及櫃檯買賣中心「證券商內部人員在</w:t>
            </w:r>
            <w:r>
              <w:rPr>
                <w:rFonts w:ascii="新細明體" w:eastAsia="新細明體" w:hAnsi="新細明體" w:cs="新細明體" w:hint="eastAsia"/>
              </w:rPr>
              <w:lastRenderedPageBreak/>
              <w:t>所屬證券商開戶委託買賣有價證券管理辦法 」第2條第2項規定之限制，是否僅限為信託專戶或設質目的，且該等金融機構之自有資金不得於前揭帳戶從事交易。</w:t>
            </w:r>
          </w:p>
        </w:tc>
        <w:tc>
          <w:tcPr>
            <w:tcW w:w="5387" w:type="dxa"/>
            <w:tcBorders>
              <w:top w:val="nil"/>
              <w:bottom w:val="nil"/>
            </w:tcBorders>
          </w:tcPr>
          <w:p w14:paraId="74183F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8.公司之法人董事、監察人如係金融機構者，因從事信託或授信業務需要，得於其他公司開立證券交易帳戶，不受證交所及櫃檯買賣中心「證券商內部人員在</w:t>
            </w:r>
            <w:r>
              <w:rPr>
                <w:rFonts w:ascii="新細明體" w:eastAsia="新細明體" w:hAnsi="新細明體" w:cs="新細明體" w:hint="eastAsia"/>
              </w:rPr>
              <w:lastRenderedPageBreak/>
              <w:t>所屬證券商開戶委託買賣有價證券管理辦法 」第2條第2項規定之限制，是否僅限為信託專戶或設質目的，且該等金融機構之自有資金不得於前揭帳戶從事交易。</w:t>
            </w:r>
          </w:p>
        </w:tc>
        <w:tc>
          <w:tcPr>
            <w:tcW w:w="2023" w:type="dxa"/>
            <w:vMerge/>
            <w:tcBorders>
              <w:right w:val="single" w:sz="12" w:space="0" w:color="auto"/>
            </w:tcBorders>
          </w:tcPr>
          <w:p w14:paraId="61555C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C3CB84" w14:textId="77777777">
        <w:tc>
          <w:tcPr>
            <w:tcW w:w="1384" w:type="dxa"/>
            <w:vMerge/>
            <w:tcBorders>
              <w:left w:val="single" w:sz="12" w:space="0" w:color="auto"/>
            </w:tcBorders>
          </w:tcPr>
          <w:p w14:paraId="035A0DC9" w14:textId="77777777" w:rsidR="003B3105" w:rsidRDefault="003B3105" w:rsidP="001E533B">
            <w:pPr>
              <w:rPr>
                <w:rFonts w:ascii="新細明體" w:eastAsia="新細明體" w:hAnsi="新細明體"/>
              </w:rPr>
            </w:pPr>
          </w:p>
        </w:tc>
        <w:tc>
          <w:tcPr>
            <w:tcW w:w="1276" w:type="dxa"/>
            <w:vMerge/>
          </w:tcPr>
          <w:p w14:paraId="30CF7A43" w14:textId="77777777" w:rsidR="003B3105" w:rsidRDefault="003B3105" w:rsidP="001E533B">
            <w:pPr>
              <w:rPr>
                <w:rFonts w:ascii="新細明體" w:eastAsia="新細明體" w:hAnsi="新細明體"/>
              </w:rPr>
            </w:pPr>
          </w:p>
        </w:tc>
        <w:tc>
          <w:tcPr>
            <w:tcW w:w="5386" w:type="dxa"/>
            <w:tcBorders>
              <w:top w:val="nil"/>
              <w:bottom w:val="nil"/>
            </w:tcBorders>
          </w:tcPr>
          <w:p w14:paraId="2292368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9.公司是否避免內部人員與客戶因應付當日沖銷券差取借之利益衝突，對已確認有意願出借者，依出借費率由低而高取借，內部人員出借費率與客戶相同時，是否優先向客戶取借。</w:t>
            </w:r>
          </w:p>
        </w:tc>
        <w:tc>
          <w:tcPr>
            <w:tcW w:w="5387" w:type="dxa"/>
            <w:tcBorders>
              <w:top w:val="nil"/>
              <w:bottom w:val="nil"/>
            </w:tcBorders>
          </w:tcPr>
          <w:p w14:paraId="5E43B3B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9.公司是否避免內部人員與客戶因應付當日沖銷券差取借之利益衝突，對已確認有意願出借者，依出借費率由低而高取借，內部人員出借費率與客戶相同時，是否優先向客戶取借。</w:t>
            </w:r>
          </w:p>
        </w:tc>
        <w:tc>
          <w:tcPr>
            <w:tcW w:w="2023" w:type="dxa"/>
            <w:vMerge/>
            <w:tcBorders>
              <w:right w:val="single" w:sz="12" w:space="0" w:color="auto"/>
            </w:tcBorders>
          </w:tcPr>
          <w:p w14:paraId="66531E7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BF67B7" w14:textId="77777777">
        <w:tc>
          <w:tcPr>
            <w:tcW w:w="1384" w:type="dxa"/>
            <w:vMerge/>
            <w:tcBorders>
              <w:left w:val="single" w:sz="12" w:space="0" w:color="auto"/>
            </w:tcBorders>
          </w:tcPr>
          <w:p w14:paraId="7B634118" w14:textId="77777777" w:rsidR="003B3105" w:rsidRDefault="003B3105" w:rsidP="001E533B">
            <w:pPr>
              <w:rPr>
                <w:rFonts w:ascii="新細明體" w:eastAsia="新細明體" w:hAnsi="新細明體"/>
              </w:rPr>
            </w:pPr>
          </w:p>
        </w:tc>
        <w:tc>
          <w:tcPr>
            <w:tcW w:w="1276" w:type="dxa"/>
            <w:vMerge/>
          </w:tcPr>
          <w:p w14:paraId="29C53420" w14:textId="77777777" w:rsidR="003B3105" w:rsidRDefault="003B3105" w:rsidP="001E533B">
            <w:pPr>
              <w:rPr>
                <w:rFonts w:ascii="新細明體" w:eastAsia="新細明體" w:hAnsi="新細明體"/>
              </w:rPr>
            </w:pPr>
          </w:p>
        </w:tc>
        <w:tc>
          <w:tcPr>
            <w:tcW w:w="5386" w:type="dxa"/>
            <w:tcBorders>
              <w:top w:val="nil"/>
              <w:bottom w:val="nil"/>
            </w:tcBorders>
          </w:tcPr>
          <w:p w14:paraId="0D6D739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(十三)公司為外國證券商在台分</w:t>
            </w:r>
            <w:r>
              <w:rPr>
                <w:rFonts w:ascii="新細明體" w:eastAsia="新細明體" w:hAnsi="新細明體" w:cs="新細明體" w:hint="eastAsia"/>
                <w:b/>
                <w:color w:val="FF0000"/>
                <w:u w:val="single"/>
              </w:rPr>
              <w:t>支機構</w:t>
            </w:r>
            <w:r>
              <w:rPr>
                <w:rFonts w:ascii="新細明體" w:eastAsia="新細明體" w:hAnsi="新細明體" w:cs="新細明體" w:hint="eastAsia"/>
              </w:rPr>
              <w:t>者，是否未接受外國專業投資機構以公司之國外總機構為全權委託，並以其總機構為代理人。</w:t>
            </w:r>
          </w:p>
        </w:tc>
        <w:tc>
          <w:tcPr>
            <w:tcW w:w="5387" w:type="dxa"/>
            <w:tcBorders>
              <w:top w:val="nil"/>
              <w:bottom w:val="nil"/>
            </w:tcBorders>
          </w:tcPr>
          <w:p w14:paraId="3AF811A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(十三)公司為外國證券商在台分</w:t>
            </w:r>
            <w:r>
              <w:rPr>
                <w:rFonts w:ascii="新細明體" w:eastAsia="新細明體" w:hAnsi="新細明體" w:cs="新細明體" w:hint="eastAsia"/>
                <w:b/>
                <w:color w:val="FF0000"/>
              </w:rPr>
              <w:t>公司</w:t>
            </w:r>
            <w:r>
              <w:rPr>
                <w:rFonts w:ascii="新細明體" w:eastAsia="新細明體" w:hAnsi="新細明體" w:cs="新細明體" w:hint="eastAsia"/>
              </w:rPr>
              <w:t>者，是否未接受外國專業投資機構以公司之國外總機構為全權委託，並以其總機構為代理人。</w:t>
            </w:r>
          </w:p>
        </w:tc>
        <w:tc>
          <w:tcPr>
            <w:tcW w:w="2023" w:type="dxa"/>
            <w:vMerge/>
            <w:tcBorders>
              <w:right w:val="single" w:sz="12" w:space="0" w:color="auto"/>
            </w:tcBorders>
          </w:tcPr>
          <w:p w14:paraId="59CA8E3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E0E109" w14:textId="77777777">
        <w:tc>
          <w:tcPr>
            <w:tcW w:w="1384" w:type="dxa"/>
            <w:vMerge/>
            <w:tcBorders>
              <w:left w:val="single" w:sz="12" w:space="0" w:color="auto"/>
            </w:tcBorders>
          </w:tcPr>
          <w:p w14:paraId="2BFAC21B" w14:textId="77777777" w:rsidR="003B3105" w:rsidRDefault="003B3105" w:rsidP="001E533B">
            <w:pPr>
              <w:rPr>
                <w:rFonts w:ascii="新細明體" w:eastAsia="新細明體" w:hAnsi="新細明體"/>
              </w:rPr>
            </w:pPr>
          </w:p>
        </w:tc>
        <w:tc>
          <w:tcPr>
            <w:tcW w:w="1276" w:type="dxa"/>
            <w:vMerge/>
          </w:tcPr>
          <w:p w14:paraId="4DF54B7E" w14:textId="77777777" w:rsidR="003B3105" w:rsidRDefault="003B3105" w:rsidP="001E533B">
            <w:pPr>
              <w:rPr>
                <w:rFonts w:ascii="新細明體" w:eastAsia="新細明體" w:hAnsi="新細明體"/>
              </w:rPr>
            </w:pPr>
          </w:p>
        </w:tc>
        <w:tc>
          <w:tcPr>
            <w:tcW w:w="5386" w:type="dxa"/>
            <w:tcBorders>
              <w:top w:val="nil"/>
              <w:bottom w:val="nil"/>
            </w:tcBorders>
          </w:tcPr>
          <w:p w14:paraId="565DF7C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零股交易：盤後零股交易受託買賣後是否於每日下午一時四十分起至二時三十分止申報輸入證交所或櫃檯買賣中心電腦；盤中零股交易(自109年10月26日起實施)受託買賣後是否於每日上午九時起至下午一時三十分止申報輸入證交所或櫃檯買賣中心電腦。（註：公司得依風險管理機制評估結果決定是否將本項納入查核項目）。</w:t>
            </w:r>
          </w:p>
        </w:tc>
        <w:tc>
          <w:tcPr>
            <w:tcW w:w="5387" w:type="dxa"/>
            <w:tcBorders>
              <w:top w:val="nil"/>
              <w:bottom w:val="nil"/>
            </w:tcBorders>
          </w:tcPr>
          <w:p w14:paraId="6DF6EF9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零股交易：盤後零股交易受託買賣後是否於每日下午一時四十分起至二時三十分止申報輸入證交所或櫃檯買賣中心電腦；盤中零股交易(自109年10月26日起實施)受託買賣後是否於每日上午九時起至下午一時三十分止申報輸入證交所或櫃檯買賣中心電腦。（註：公司得依風險管理機制評估結果決定是否將本項納入查核項目）。</w:t>
            </w:r>
          </w:p>
        </w:tc>
        <w:tc>
          <w:tcPr>
            <w:tcW w:w="2023" w:type="dxa"/>
            <w:vMerge/>
            <w:tcBorders>
              <w:right w:val="single" w:sz="12" w:space="0" w:color="auto"/>
            </w:tcBorders>
          </w:tcPr>
          <w:p w14:paraId="355383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EC2516C" w14:textId="77777777">
        <w:tc>
          <w:tcPr>
            <w:tcW w:w="1384" w:type="dxa"/>
            <w:vMerge/>
            <w:tcBorders>
              <w:left w:val="single" w:sz="12" w:space="0" w:color="auto"/>
            </w:tcBorders>
          </w:tcPr>
          <w:p w14:paraId="5125FBB9" w14:textId="77777777" w:rsidR="003B3105" w:rsidRDefault="003B3105" w:rsidP="001E533B">
            <w:pPr>
              <w:rPr>
                <w:rFonts w:ascii="新細明體" w:eastAsia="新細明體" w:hAnsi="新細明體"/>
              </w:rPr>
            </w:pPr>
          </w:p>
        </w:tc>
        <w:tc>
          <w:tcPr>
            <w:tcW w:w="1276" w:type="dxa"/>
            <w:vMerge/>
          </w:tcPr>
          <w:p w14:paraId="3936BFCD" w14:textId="77777777" w:rsidR="003B3105" w:rsidRDefault="003B3105" w:rsidP="001E533B">
            <w:pPr>
              <w:rPr>
                <w:rFonts w:ascii="新細明體" w:eastAsia="新細明體" w:hAnsi="新細明體"/>
              </w:rPr>
            </w:pPr>
          </w:p>
        </w:tc>
        <w:tc>
          <w:tcPr>
            <w:tcW w:w="5386" w:type="dxa"/>
            <w:tcBorders>
              <w:top w:val="nil"/>
              <w:bottom w:val="nil"/>
            </w:tcBorders>
          </w:tcPr>
          <w:p w14:paraId="0468DBE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(十五)受託買賣認購(售)權證：</w:t>
            </w:r>
          </w:p>
        </w:tc>
        <w:tc>
          <w:tcPr>
            <w:tcW w:w="5387" w:type="dxa"/>
            <w:tcBorders>
              <w:top w:val="nil"/>
              <w:bottom w:val="nil"/>
            </w:tcBorders>
          </w:tcPr>
          <w:p w14:paraId="45C95B9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(十五)受託買賣認購(售)權證：</w:t>
            </w:r>
          </w:p>
        </w:tc>
        <w:tc>
          <w:tcPr>
            <w:tcW w:w="2023" w:type="dxa"/>
            <w:vMerge/>
            <w:tcBorders>
              <w:right w:val="single" w:sz="12" w:space="0" w:color="auto"/>
            </w:tcBorders>
          </w:tcPr>
          <w:p w14:paraId="58CAFFC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B227C8" w14:textId="77777777">
        <w:tc>
          <w:tcPr>
            <w:tcW w:w="1384" w:type="dxa"/>
            <w:vMerge/>
            <w:tcBorders>
              <w:left w:val="single" w:sz="12" w:space="0" w:color="auto"/>
            </w:tcBorders>
          </w:tcPr>
          <w:p w14:paraId="7FBA92EB" w14:textId="77777777" w:rsidR="003B3105" w:rsidRDefault="003B3105" w:rsidP="001E533B">
            <w:pPr>
              <w:rPr>
                <w:rFonts w:ascii="新細明體" w:eastAsia="新細明體" w:hAnsi="新細明體"/>
              </w:rPr>
            </w:pPr>
          </w:p>
        </w:tc>
        <w:tc>
          <w:tcPr>
            <w:tcW w:w="1276" w:type="dxa"/>
            <w:vMerge/>
          </w:tcPr>
          <w:p w14:paraId="33A336C9" w14:textId="77777777" w:rsidR="003B3105" w:rsidRDefault="003B3105" w:rsidP="001E533B">
            <w:pPr>
              <w:rPr>
                <w:rFonts w:ascii="新細明體" w:eastAsia="新細明體" w:hAnsi="新細明體"/>
              </w:rPr>
            </w:pPr>
          </w:p>
        </w:tc>
        <w:tc>
          <w:tcPr>
            <w:tcW w:w="5386" w:type="dxa"/>
            <w:tcBorders>
              <w:top w:val="nil"/>
              <w:bottom w:val="nil"/>
            </w:tcBorders>
          </w:tcPr>
          <w:p w14:paraId="177988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1.客戶買賣認購(售)權證時，除專業機構投資人外，是否已簽具風險預告書。</w:t>
            </w:r>
          </w:p>
        </w:tc>
        <w:tc>
          <w:tcPr>
            <w:tcW w:w="5387" w:type="dxa"/>
            <w:tcBorders>
              <w:top w:val="nil"/>
              <w:bottom w:val="nil"/>
            </w:tcBorders>
          </w:tcPr>
          <w:p w14:paraId="2C80DFE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1.客戶買賣認購(售)權證時，除專業機構投資人外，是否已簽具風險預告書。</w:t>
            </w:r>
          </w:p>
        </w:tc>
        <w:tc>
          <w:tcPr>
            <w:tcW w:w="2023" w:type="dxa"/>
            <w:vMerge/>
            <w:tcBorders>
              <w:right w:val="single" w:sz="12" w:space="0" w:color="auto"/>
            </w:tcBorders>
          </w:tcPr>
          <w:p w14:paraId="671AA82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1974B9" w14:textId="77777777">
        <w:tc>
          <w:tcPr>
            <w:tcW w:w="1384" w:type="dxa"/>
            <w:vMerge/>
            <w:tcBorders>
              <w:left w:val="single" w:sz="12" w:space="0" w:color="auto"/>
            </w:tcBorders>
          </w:tcPr>
          <w:p w14:paraId="41ACD2F0" w14:textId="77777777" w:rsidR="003B3105" w:rsidRDefault="003B3105" w:rsidP="001E533B">
            <w:pPr>
              <w:rPr>
                <w:rFonts w:ascii="新細明體" w:eastAsia="新細明體" w:hAnsi="新細明體"/>
              </w:rPr>
            </w:pPr>
          </w:p>
        </w:tc>
        <w:tc>
          <w:tcPr>
            <w:tcW w:w="1276" w:type="dxa"/>
            <w:vMerge/>
          </w:tcPr>
          <w:p w14:paraId="1E250C45" w14:textId="77777777" w:rsidR="003B3105" w:rsidRDefault="003B3105" w:rsidP="001E533B">
            <w:pPr>
              <w:rPr>
                <w:rFonts w:ascii="新細明體" w:eastAsia="新細明體" w:hAnsi="新細明體"/>
              </w:rPr>
            </w:pPr>
          </w:p>
        </w:tc>
        <w:tc>
          <w:tcPr>
            <w:tcW w:w="5386" w:type="dxa"/>
            <w:tcBorders>
              <w:top w:val="nil"/>
              <w:bottom w:val="nil"/>
            </w:tcBorders>
          </w:tcPr>
          <w:p w14:paraId="0E5466B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2.認購(售)權證之標的證券，其法令訂有華</w:t>
            </w:r>
            <w:r>
              <w:rPr>
                <w:rFonts w:ascii="新細明體" w:eastAsia="新細明體" w:hAnsi="新細明體" w:cs="新細明體" w:hint="eastAsia"/>
              </w:rPr>
              <w:lastRenderedPageBreak/>
              <w:t>僑及外國人投資比例上限者，華僑及外國人投資於該標的證券之認購(售)權證，是否限以現金結算型為之；組合式認購(售)權證如含有上開法令限制上限之標的證券者，亦同。</w:t>
            </w:r>
          </w:p>
        </w:tc>
        <w:tc>
          <w:tcPr>
            <w:tcW w:w="5387" w:type="dxa"/>
            <w:tcBorders>
              <w:top w:val="nil"/>
              <w:bottom w:val="nil"/>
            </w:tcBorders>
          </w:tcPr>
          <w:p w14:paraId="56F473E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2.認購(售)權證之標的證券，其法令訂有華</w:t>
            </w:r>
            <w:r>
              <w:rPr>
                <w:rFonts w:ascii="新細明體" w:eastAsia="新細明體" w:hAnsi="新細明體" w:cs="新細明體" w:hint="eastAsia"/>
              </w:rPr>
              <w:lastRenderedPageBreak/>
              <w:t>僑及外國人投資比例上限者，華僑及外國人投資於該標的證券之認購(售)權證，是否限以現金結算型為之；組合式認購(售)權證如含有上開法令限制上限之標的證券者，亦同。</w:t>
            </w:r>
          </w:p>
        </w:tc>
        <w:tc>
          <w:tcPr>
            <w:tcW w:w="2023" w:type="dxa"/>
            <w:vMerge/>
            <w:tcBorders>
              <w:right w:val="single" w:sz="12" w:space="0" w:color="auto"/>
            </w:tcBorders>
          </w:tcPr>
          <w:p w14:paraId="7B0F82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8CC4B7" w14:textId="77777777">
        <w:tc>
          <w:tcPr>
            <w:tcW w:w="1384" w:type="dxa"/>
            <w:vMerge/>
            <w:tcBorders>
              <w:left w:val="single" w:sz="12" w:space="0" w:color="auto"/>
            </w:tcBorders>
          </w:tcPr>
          <w:p w14:paraId="749FA210" w14:textId="77777777" w:rsidR="003B3105" w:rsidRDefault="003B3105" w:rsidP="001E533B">
            <w:pPr>
              <w:rPr>
                <w:rFonts w:ascii="新細明體" w:eastAsia="新細明體" w:hAnsi="新細明體"/>
              </w:rPr>
            </w:pPr>
          </w:p>
        </w:tc>
        <w:tc>
          <w:tcPr>
            <w:tcW w:w="1276" w:type="dxa"/>
            <w:vMerge/>
          </w:tcPr>
          <w:p w14:paraId="2B193D3E" w14:textId="77777777" w:rsidR="003B3105" w:rsidRDefault="003B3105" w:rsidP="001E533B">
            <w:pPr>
              <w:rPr>
                <w:rFonts w:ascii="新細明體" w:eastAsia="新細明體" w:hAnsi="新細明體"/>
              </w:rPr>
            </w:pPr>
          </w:p>
        </w:tc>
        <w:tc>
          <w:tcPr>
            <w:tcW w:w="5386" w:type="dxa"/>
            <w:tcBorders>
              <w:top w:val="nil"/>
              <w:bottom w:val="nil"/>
            </w:tcBorders>
          </w:tcPr>
          <w:p w14:paraId="024F501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3.(刪除)</w:t>
            </w:r>
          </w:p>
        </w:tc>
        <w:tc>
          <w:tcPr>
            <w:tcW w:w="5387" w:type="dxa"/>
            <w:tcBorders>
              <w:top w:val="nil"/>
              <w:bottom w:val="nil"/>
            </w:tcBorders>
          </w:tcPr>
          <w:p w14:paraId="37BF35C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3.(刪除)</w:t>
            </w:r>
          </w:p>
        </w:tc>
        <w:tc>
          <w:tcPr>
            <w:tcW w:w="2023" w:type="dxa"/>
            <w:vMerge/>
            <w:tcBorders>
              <w:right w:val="single" w:sz="12" w:space="0" w:color="auto"/>
            </w:tcBorders>
          </w:tcPr>
          <w:p w14:paraId="3D7FD7F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DE82A3" w14:textId="77777777">
        <w:tc>
          <w:tcPr>
            <w:tcW w:w="1384" w:type="dxa"/>
            <w:vMerge/>
            <w:tcBorders>
              <w:left w:val="single" w:sz="12" w:space="0" w:color="auto"/>
            </w:tcBorders>
          </w:tcPr>
          <w:p w14:paraId="6F63A434" w14:textId="77777777" w:rsidR="003B3105" w:rsidRDefault="003B3105" w:rsidP="001E533B">
            <w:pPr>
              <w:rPr>
                <w:rFonts w:ascii="新細明體" w:eastAsia="新細明體" w:hAnsi="新細明體"/>
              </w:rPr>
            </w:pPr>
          </w:p>
        </w:tc>
        <w:tc>
          <w:tcPr>
            <w:tcW w:w="1276" w:type="dxa"/>
            <w:vMerge/>
          </w:tcPr>
          <w:p w14:paraId="5C9F4551" w14:textId="77777777" w:rsidR="003B3105" w:rsidRDefault="003B3105" w:rsidP="001E533B">
            <w:pPr>
              <w:rPr>
                <w:rFonts w:ascii="新細明體" w:eastAsia="新細明體" w:hAnsi="新細明體"/>
              </w:rPr>
            </w:pPr>
          </w:p>
        </w:tc>
        <w:tc>
          <w:tcPr>
            <w:tcW w:w="5386" w:type="dxa"/>
            <w:tcBorders>
              <w:top w:val="nil"/>
              <w:bottom w:val="nil"/>
            </w:tcBorders>
          </w:tcPr>
          <w:p w14:paraId="653319F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(十六)受託證券鉅額買賣，是否依相關規定辦理。</w:t>
            </w:r>
          </w:p>
        </w:tc>
        <w:tc>
          <w:tcPr>
            <w:tcW w:w="5387" w:type="dxa"/>
            <w:tcBorders>
              <w:top w:val="nil"/>
              <w:bottom w:val="nil"/>
            </w:tcBorders>
          </w:tcPr>
          <w:p w14:paraId="7477843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(十六)受託證券鉅額買賣，是否依相關規定辦理。</w:t>
            </w:r>
          </w:p>
        </w:tc>
        <w:tc>
          <w:tcPr>
            <w:tcW w:w="2023" w:type="dxa"/>
            <w:vMerge/>
            <w:tcBorders>
              <w:right w:val="single" w:sz="12" w:space="0" w:color="auto"/>
            </w:tcBorders>
          </w:tcPr>
          <w:p w14:paraId="28177B3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760633" w14:textId="77777777">
        <w:tc>
          <w:tcPr>
            <w:tcW w:w="1384" w:type="dxa"/>
            <w:vMerge/>
            <w:tcBorders>
              <w:left w:val="single" w:sz="12" w:space="0" w:color="auto"/>
            </w:tcBorders>
          </w:tcPr>
          <w:p w14:paraId="1E466DA6" w14:textId="77777777" w:rsidR="003B3105" w:rsidRDefault="003B3105" w:rsidP="001E533B">
            <w:pPr>
              <w:rPr>
                <w:rFonts w:ascii="新細明體" w:eastAsia="新細明體" w:hAnsi="新細明體"/>
              </w:rPr>
            </w:pPr>
          </w:p>
        </w:tc>
        <w:tc>
          <w:tcPr>
            <w:tcW w:w="1276" w:type="dxa"/>
            <w:vMerge/>
          </w:tcPr>
          <w:p w14:paraId="0EE94942" w14:textId="77777777" w:rsidR="003B3105" w:rsidRDefault="003B3105" w:rsidP="001E533B">
            <w:pPr>
              <w:rPr>
                <w:rFonts w:ascii="新細明體" w:eastAsia="新細明體" w:hAnsi="新細明體"/>
              </w:rPr>
            </w:pPr>
          </w:p>
        </w:tc>
        <w:tc>
          <w:tcPr>
            <w:tcW w:w="5386" w:type="dxa"/>
            <w:tcBorders>
              <w:top w:val="nil"/>
              <w:bottom w:val="nil"/>
            </w:tcBorders>
          </w:tcPr>
          <w:p w14:paraId="26AC153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是否未以手機接受客戶委託買賣，客戶電話委託，是否同步錄音，並至少保存一年（註：保存期限由二個月延長為一年，自100年10月5日起實施）。若買賣委託有爭議者，保存至該爭議消除為止。如發生設備故障或作業疏漏時，是否於事實發生之日起二日內將其原因事實及改善情形申報證交所及櫃檯買賣中心。</w:t>
            </w:r>
          </w:p>
        </w:tc>
        <w:tc>
          <w:tcPr>
            <w:tcW w:w="5387" w:type="dxa"/>
            <w:tcBorders>
              <w:top w:val="nil"/>
              <w:bottom w:val="nil"/>
            </w:tcBorders>
          </w:tcPr>
          <w:p w14:paraId="32B58C5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是否未以手機接受客戶委託買賣，客戶電話委託，是否同步錄音，並至少保存一年（註：保存期限由二個月延長為一年，自100年10月5日起實施）。若買賣委託有爭議者，保存至該爭議消除為止。如發生設備故障或作業疏漏時，是否於事實發生之日起二日內將其原因事實及改善情形申報證交所及櫃檯買賣中心。</w:t>
            </w:r>
          </w:p>
        </w:tc>
        <w:tc>
          <w:tcPr>
            <w:tcW w:w="2023" w:type="dxa"/>
            <w:vMerge/>
            <w:tcBorders>
              <w:right w:val="single" w:sz="12" w:space="0" w:color="auto"/>
            </w:tcBorders>
          </w:tcPr>
          <w:p w14:paraId="79D6688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56D4C00" w14:textId="77777777">
        <w:tc>
          <w:tcPr>
            <w:tcW w:w="1384" w:type="dxa"/>
            <w:vMerge/>
            <w:tcBorders>
              <w:left w:val="single" w:sz="12" w:space="0" w:color="auto"/>
            </w:tcBorders>
          </w:tcPr>
          <w:p w14:paraId="17D89AB0" w14:textId="77777777" w:rsidR="003B3105" w:rsidRDefault="003B3105" w:rsidP="001E533B">
            <w:pPr>
              <w:rPr>
                <w:rFonts w:ascii="新細明體" w:eastAsia="新細明體" w:hAnsi="新細明體"/>
              </w:rPr>
            </w:pPr>
          </w:p>
        </w:tc>
        <w:tc>
          <w:tcPr>
            <w:tcW w:w="1276" w:type="dxa"/>
            <w:vMerge/>
          </w:tcPr>
          <w:p w14:paraId="6BB30257" w14:textId="77777777" w:rsidR="003B3105" w:rsidRDefault="003B3105" w:rsidP="001E533B">
            <w:pPr>
              <w:rPr>
                <w:rFonts w:ascii="新細明體" w:eastAsia="新細明體" w:hAnsi="新細明體"/>
              </w:rPr>
            </w:pPr>
          </w:p>
        </w:tc>
        <w:tc>
          <w:tcPr>
            <w:tcW w:w="5386" w:type="dxa"/>
            <w:tcBorders>
              <w:top w:val="nil"/>
              <w:bottom w:val="nil"/>
            </w:tcBorders>
          </w:tcPr>
          <w:p w14:paraId="4D6DAA7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(十八)採網際網路等電子式交易型態交易所使用之交易主機，其受託買賣有價證券檢查點控制項目，是否涵蓋證券管理法令之買賣限制或禁止規定，並至少包含下列各項︰</w:t>
            </w:r>
          </w:p>
        </w:tc>
        <w:tc>
          <w:tcPr>
            <w:tcW w:w="5387" w:type="dxa"/>
            <w:tcBorders>
              <w:top w:val="nil"/>
              <w:bottom w:val="nil"/>
            </w:tcBorders>
          </w:tcPr>
          <w:p w14:paraId="033219A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(十八)採網際網路等電子式交易型態交易所使用之交易主機，其受託買賣有價證券檢查點控制項目，是否涵蓋證券管理法令之買賣限制或禁止規定，並至少包含下列各項︰</w:t>
            </w:r>
          </w:p>
        </w:tc>
        <w:tc>
          <w:tcPr>
            <w:tcW w:w="2023" w:type="dxa"/>
            <w:vMerge/>
            <w:tcBorders>
              <w:right w:val="single" w:sz="12" w:space="0" w:color="auto"/>
            </w:tcBorders>
          </w:tcPr>
          <w:p w14:paraId="340F2E3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EA0237" w14:textId="77777777">
        <w:tc>
          <w:tcPr>
            <w:tcW w:w="1384" w:type="dxa"/>
            <w:vMerge/>
            <w:tcBorders>
              <w:left w:val="single" w:sz="12" w:space="0" w:color="auto"/>
            </w:tcBorders>
          </w:tcPr>
          <w:p w14:paraId="0D09802F" w14:textId="77777777" w:rsidR="003B3105" w:rsidRDefault="003B3105" w:rsidP="001E533B">
            <w:pPr>
              <w:rPr>
                <w:rFonts w:ascii="新細明體" w:eastAsia="新細明體" w:hAnsi="新細明體"/>
              </w:rPr>
            </w:pPr>
          </w:p>
        </w:tc>
        <w:tc>
          <w:tcPr>
            <w:tcW w:w="1276" w:type="dxa"/>
            <w:vMerge/>
          </w:tcPr>
          <w:p w14:paraId="408738EE" w14:textId="77777777" w:rsidR="003B3105" w:rsidRDefault="003B3105" w:rsidP="001E533B">
            <w:pPr>
              <w:rPr>
                <w:rFonts w:ascii="新細明體" w:eastAsia="新細明體" w:hAnsi="新細明體"/>
              </w:rPr>
            </w:pPr>
          </w:p>
        </w:tc>
        <w:tc>
          <w:tcPr>
            <w:tcW w:w="5386" w:type="dxa"/>
            <w:tcBorders>
              <w:top w:val="nil"/>
              <w:bottom w:val="nil"/>
            </w:tcBorders>
          </w:tcPr>
          <w:p w14:paraId="1E9FE29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1.委託買賣證券標的的正確性及其漲跌幅限制之控管。</w:t>
            </w:r>
          </w:p>
        </w:tc>
        <w:tc>
          <w:tcPr>
            <w:tcW w:w="5387" w:type="dxa"/>
            <w:tcBorders>
              <w:top w:val="nil"/>
              <w:bottom w:val="nil"/>
            </w:tcBorders>
          </w:tcPr>
          <w:p w14:paraId="76C4BCC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1.委託買賣證券標的的正確性及其漲跌幅限制之控管。</w:t>
            </w:r>
          </w:p>
        </w:tc>
        <w:tc>
          <w:tcPr>
            <w:tcW w:w="2023" w:type="dxa"/>
            <w:vMerge/>
            <w:tcBorders>
              <w:right w:val="single" w:sz="12" w:space="0" w:color="auto"/>
            </w:tcBorders>
          </w:tcPr>
          <w:p w14:paraId="748B1D2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A3B944" w14:textId="77777777">
        <w:tc>
          <w:tcPr>
            <w:tcW w:w="1384" w:type="dxa"/>
            <w:vMerge/>
            <w:tcBorders>
              <w:left w:val="single" w:sz="12" w:space="0" w:color="auto"/>
            </w:tcBorders>
          </w:tcPr>
          <w:p w14:paraId="0763AF82" w14:textId="77777777" w:rsidR="003B3105" w:rsidRDefault="003B3105" w:rsidP="001E533B">
            <w:pPr>
              <w:rPr>
                <w:rFonts w:ascii="新細明體" w:eastAsia="新細明體" w:hAnsi="新細明體"/>
              </w:rPr>
            </w:pPr>
          </w:p>
        </w:tc>
        <w:tc>
          <w:tcPr>
            <w:tcW w:w="1276" w:type="dxa"/>
            <w:vMerge/>
          </w:tcPr>
          <w:p w14:paraId="1650B232" w14:textId="77777777" w:rsidR="003B3105" w:rsidRDefault="003B3105" w:rsidP="001E533B">
            <w:pPr>
              <w:rPr>
                <w:rFonts w:ascii="新細明體" w:eastAsia="新細明體" w:hAnsi="新細明體"/>
              </w:rPr>
            </w:pPr>
          </w:p>
        </w:tc>
        <w:tc>
          <w:tcPr>
            <w:tcW w:w="5386" w:type="dxa"/>
            <w:tcBorders>
              <w:top w:val="nil"/>
              <w:bottom w:val="nil"/>
            </w:tcBorders>
          </w:tcPr>
          <w:p w14:paraId="30D0E2D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2.客戶單日買賣最高額度及信用交易額度之控管，同一證券商（含總公司</w:t>
            </w:r>
            <w:r>
              <w:rPr>
                <w:rFonts w:ascii="新細明體" w:eastAsia="新細明體" w:hAnsi="新細明體" w:cs="新細明體" w:hint="eastAsia"/>
                <w:b/>
                <w:color w:val="FF0000"/>
                <w:u w:val="single"/>
              </w:rPr>
              <w:t>及分支機構</w:t>
            </w:r>
            <w:r>
              <w:rPr>
                <w:rFonts w:ascii="新細明體" w:eastAsia="新細明體" w:hAnsi="新細明體" w:cs="新細明體" w:hint="eastAsia"/>
              </w:rPr>
              <w:t>）同一客戶之單日買賣最高額度及</w:t>
            </w:r>
            <w:r>
              <w:rPr>
                <w:rFonts w:ascii="新細明體" w:eastAsia="新細明體" w:hAnsi="新細明體" w:cs="新細明體" w:hint="eastAsia"/>
              </w:rPr>
              <w:lastRenderedPageBreak/>
              <w:t>信用交易額度應予歸戶計算。</w:t>
            </w:r>
          </w:p>
        </w:tc>
        <w:tc>
          <w:tcPr>
            <w:tcW w:w="5387" w:type="dxa"/>
            <w:tcBorders>
              <w:top w:val="nil"/>
              <w:bottom w:val="nil"/>
            </w:tcBorders>
          </w:tcPr>
          <w:p w14:paraId="589AE7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2.客戶單日買賣最高額度及信用交易額度之控管，同一證券商（含總</w:t>
            </w:r>
            <w:r>
              <w:rPr>
                <w:rFonts w:ascii="新細明體" w:eastAsia="新細明體" w:hAnsi="新細明體" w:cs="新細明體" w:hint="eastAsia"/>
                <w:b/>
                <w:color w:val="FF0000"/>
              </w:rPr>
              <w:t>分</w:t>
            </w:r>
            <w:r>
              <w:rPr>
                <w:rFonts w:ascii="新細明體" w:eastAsia="新細明體" w:hAnsi="新細明體" w:cs="新細明體" w:hint="eastAsia"/>
              </w:rPr>
              <w:t>公司）同一客戶之單日買賣最高額度及信用交易</w:t>
            </w:r>
            <w:r>
              <w:rPr>
                <w:rFonts w:ascii="新細明體" w:eastAsia="新細明體" w:hAnsi="新細明體" w:cs="新細明體" w:hint="eastAsia"/>
              </w:rPr>
              <w:lastRenderedPageBreak/>
              <w:t>額度應予歸戶計算。</w:t>
            </w:r>
          </w:p>
        </w:tc>
        <w:tc>
          <w:tcPr>
            <w:tcW w:w="2023" w:type="dxa"/>
            <w:vMerge/>
            <w:tcBorders>
              <w:right w:val="single" w:sz="12" w:space="0" w:color="auto"/>
            </w:tcBorders>
          </w:tcPr>
          <w:p w14:paraId="49BCCA2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7FBA165" w14:textId="77777777">
        <w:tc>
          <w:tcPr>
            <w:tcW w:w="1384" w:type="dxa"/>
            <w:vMerge/>
            <w:tcBorders>
              <w:left w:val="single" w:sz="12" w:space="0" w:color="auto"/>
            </w:tcBorders>
          </w:tcPr>
          <w:p w14:paraId="26075F04" w14:textId="77777777" w:rsidR="003B3105" w:rsidRDefault="003B3105" w:rsidP="001E533B">
            <w:pPr>
              <w:rPr>
                <w:rFonts w:ascii="新細明體" w:eastAsia="新細明體" w:hAnsi="新細明體"/>
              </w:rPr>
            </w:pPr>
          </w:p>
        </w:tc>
        <w:tc>
          <w:tcPr>
            <w:tcW w:w="1276" w:type="dxa"/>
            <w:vMerge/>
          </w:tcPr>
          <w:p w14:paraId="03D4D2DB" w14:textId="77777777" w:rsidR="003B3105" w:rsidRDefault="003B3105" w:rsidP="001E533B">
            <w:pPr>
              <w:rPr>
                <w:rFonts w:ascii="新細明體" w:eastAsia="新細明體" w:hAnsi="新細明體"/>
              </w:rPr>
            </w:pPr>
          </w:p>
        </w:tc>
        <w:tc>
          <w:tcPr>
            <w:tcW w:w="5386" w:type="dxa"/>
            <w:tcBorders>
              <w:top w:val="nil"/>
              <w:bottom w:val="nil"/>
            </w:tcBorders>
          </w:tcPr>
          <w:p w14:paraId="16A9CA1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3.受託買賣金額分層負責授權之控管，亦應予歸戶計算。</w:t>
            </w:r>
          </w:p>
        </w:tc>
        <w:tc>
          <w:tcPr>
            <w:tcW w:w="5387" w:type="dxa"/>
            <w:tcBorders>
              <w:top w:val="nil"/>
              <w:bottom w:val="nil"/>
            </w:tcBorders>
          </w:tcPr>
          <w:p w14:paraId="0ABAA67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3.受託買賣金額分層負責授權之控管，亦應予歸戶計算。</w:t>
            </w:r>
          </w:p>
        </w:tc>
        <w:tc>
          <w:tcPr>
            <w:tcW w:w="2023" w:type="dxa"/>
            <w:vMerge/>
            <w:tcBorders>
              <w:right w:val="single" w:sz="12" w:space="0" w:color="auto"/>
            </w:tcBorders>
          </w:tcPr>
          <w:p w14:paraId="359173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06E0CB3" w14:textId="77777777">
        <w:tc>
          <w:tcPr>
            <w:tcW w:w="1384" w:type="dxa"/>
            <w:vMerge/>
            <w:tcBorders>
              <w:left w:val="single" w:sz="12" w:space="0" w:color="auto"/>
            </w:tcBorders>
          </w:tcPr>
          <w:p w14:paraId="7B6B6DB0" w14:textId="77777777" w:rsidR="003B3105" w:rsidRDefault="003B3105" w:rsidP="001E533B">
            <w:pPr>
              <w:rPr>
                <w:rFonts w:ascii="新細明體" w:eastAsia="新細明體" w:hAnsi="新細明體"/>
              </w:rPr>
            </w:pPr>
          </w:p>
        </w:tc>
        <w:tc>
          <w:tcPr>
            <w:tcW w:w="1276" w:type="dxa"/>
            <w:vMerge/>
          </w:tcPr>
          <w:p w14:paraId="635BFC82" w14:textId="77777777" w:rsidR="003B3105" w:rsidRDefault="003B3105" w:rsidP="001E533B">
            <w:pPr>
              <w:rPr>
                <w:rFonts w:ascii="新細明體" w:eastAsia="新細明體" w:hAnsi="新細明體"/>
              </w:rPr>
            </w:pPr>
          </w:p>
        </w:tc>
        <w:tc>
          <w:tcPr>
            <w:tcW w:w="5386" w:type="dxa"/>
            <w:tcBorders>
              <w:top w:val="nil"/>
              <w:bottom w:val="nil"/>
            </w:tcBorders>
          </w:tcPr>
          <w:p w14:paraId="5AF305E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4.公會會員受託買賣有價證券徵信與額度管理自律規則第二十五條所列情事之控管。</w:t>
            </w:r>
          </w:p>
        </w:tc>
        <w:tc>
          <w:tcPr>
            <w:tcW w:w="5387" w:type="dxa"/>
            <w:tcBorders>
              <w:top w:val="nil"/>
              <w:bottom w:val="nil"/>
            </w:tcBorders>
          </w:tcPr>
          <w:p w14:paraId="38375B3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4.公會會員受託買賣有價證券徵信與額度管理自律規則第二十五條所列情事之控管。</w:t>
            </w:r>
          </w:p>
        </w:tc>
        <w:tc>
          <w:tcPr>
            <w:tcW w:w="2023" w:type="dxa"/>
            <w:vMerge/>
            <w:tcBorders>
              <w:right w:val="single" w:sz="12" w:space="0" w:color="auto"/>
            </w:tcBorders>
          </w:tcPr>
          <w:p w14:paraId="3EB352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9A597F2" w14:textId="77777777">
        <w:tc>
          <w:tcPr>
            <w:tcW w:w="1384" w:type="dxa"/>
            <w:vMerge/>
            <w:tcBorders>
              <w:left w:val="single" w:sz="12" w:space="0" w:color="auto"/>
            </w:tcBorders>
          </w:tcPr>
          <w:p w14:paraId="18E9CE20" w14:textId="77777777" w:rsidR="003B3105" w:rsidRDefault="003B3105" w:rsidP="001E533B">
            <w:pPr>
              <w:rPr>
                <w:rFonts w:ascii="新細明體" w:eastAsia="新細明體" w:hAnsi="新細明體"/>
              </w:rPr>
            </w:pPr>
          </w:p>
        </w:tc>
        <w:tc>
          <w:tcPr>
            <w:tcW w:w="1276" w:type="dxa"/>
            <w:vMerge/>
          </w:tcPr>
          <w:p w14:paraId="5C9563B6" w14:textId="77777777" w:rsidR="003B3105" w:rsidRDefault="003B3105" w:rsidP="001E533B">
            <w:pPr>
              <w:rPr>
                <w:rFonts w:ascii="新細明體" w:eastAsia="新細明體" w:hAnsi="新細明體"/>
              </w:rPr>
            </w:pPr>
          </w:p>
        </w:tc>
        <w:tc>
          <w:tcPr>
            <w:tcW w:w="5386" w:type="dxa"/>
            <w:tcBorders>
              <w:top w:val="nil"/>
              <w:bottom w:val="nil"/>
            </w:tcBorders>
          </w:tcPr>
          <w:p w14:paraId="6A1F2A6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5.買賣變更交易方式股票之控管。</w:t>
            </w:r>
          </w:p>
        </w:tc>
        <w:tc>
          <w:tcPr>
            <w:tcW w:w="5387" w:type="dxa"/>
            <w:tcBorders>
              <w:top w:val="nil"/>
              <w:bottom w:val="nil"/>
            </w:tcBorders>
          </w:tcPr>
          <w:p w14:paraId="48AA752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5.買賣變更交易方式股票之控管。</w:t>
            </w:r>
          </w:p>
        </w:tc>
        <w:tc>
          <w:tcPr>
            <w:tcW w:w="2023" w:type="dxa"/>
            <w:vMerge/>
            <w:tcBorders>
              <w:right w:val="single" w:sz="12" w:space="0" w:color="auto"/>
            </w:tcBorders>
          </w:tcPr>
          <w:p w14:paraId="4E5D3A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B13AA5" w14:textId="77777777">
        <w:tc>
          <w:tcPr>
            <w:tcW w:w="1384" w:type="dxa"/>
            <w:vMerge/>
            <w:tcBorders>
              <w:left w:val="single" w:sz="12" w:space="0" w:color="auto"/>
            </w:tcBorders>
          </w:tcPr>
          <w:p w14:paraId="10C31814" w14:textId="77777777" w:rsidR="003B3105" w:rsidRDefault="003B3105" w:rsidP="001E533B">
            <w:pPr>
              <w:rPr>
                <w:rFonts w:ascii="新細明體" w:eastAsia="新細明體" w:hAnsi="新細明體"/>
              </w:rPr>
            </w:pPr>
          </w:p>
        </w:tc>
        <w:tc>
          <w:tcPr>
            <w:tcW w:w="1276" w:type="dxa"/>
            <w:vMerge/>
          </w:tcPr>
          <w:p w14:paraId="277F5FBB" w14:textId="77777777" w:rsidR="003B3105" w:rsidRDefault="003B3105" w:rsidP="001E533B">
            <w:pPr>
              <w:rPr>
                <w:rFonts w:ascii="新細明體" w:eastAsia="新細明體" w:hAnsi="新細明體"/>
              </w:rPr>
            </w:pPr>
          </w:p>
        </w:tc>
        <w:tc>
          <w:tcPr>
            <w:tcW w:w="5386" w:type="dxa"/>
            <w:tcBorders>
              <w:top w:val="nil"/>
              <w:bottom w:val="nil"/>
            </w:tcBorders>
          </w:tcPr>
          <w:p w14:paraId="5C883FB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6.買賣公佈或通知注意交易資訊暨處置股票之控管。</w:t>
            </w:r>
          </w:p>
        </w:tc>
        <w:tc>
          <w:tcPr>
            <w:tcW w:w="5387" w:type="dxa"/>
            <w:tcBorders>
              <w:top w:val="nil"/>
              <w:bottom w:val="nil"/>
            </w:tcBorders>
          </w:tcPr>
          <w:p w14:paraId="7200D42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6.買賣公佈或通知注意交易資訊暨處置股票之控管。</w:t>
            </w:r>
          </w:p>
        </w:tc>
        <w:tc>
          <w:tcPr>
            <w:tcW w:w="2023" w:type="dxa"/>
            <w:vMerge/>
            <w:tcBorders>
              <w:right w:val="single" w:sz="12" w:space="0" w:color="auto"/>
            </w:tcBorders>
          </w:tcPr>
          <w:p w14:paraId="24D6B38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A11105" w14:textId="77777777">
        <w:tc>
          <w:tcPr>
            <w:tcW w:w="1384" w:type="dxa"/>
            <w:vMerge/>
            <w:tcBorders>
              <w:left w:val="single" w:sz="12" w:space="0" w:color="auto"/>
            </w:tcBorders>
          </w:tcPr>
          <w:p w14:paraId="3923C387" w14:textId="77777777" w:rsidR="003B3105" w:rsidRDefault="003B3105" w:rsidP="001E533B">
            <w:pPr>
              <w:rPr>
                <w:rFonts w:ascii="新細明體" w:eastAsia="新細明體" w:hAnsi="新細明體"/>
              </w:rPr>
            </w:pPr>
          </w:p>
        </w:tc>
        <w:tc>
          <w:tcPr>
            <w:tcW w:w="1276" w:type="dxa"/>
            <w:vMerge/>
          </w:tcPr>
          <w:p w14:paraId="2C10E7FD" w14:textId="77777777" w:rsidR="003B3105" w:rsidRDefault="003B3105" w:rsidP="001E533B">
            <w:pPr>
              <w:rPr>
                <w:rFonts w:ascii="新細明體" w:eastAsia="新細明體" w:hAnsi="新細明體"/>
              </w:rPr>
            </w:pPr>
          </w:p>
        </w:tc>
        <w:tc>
          <w:tcPr>
            <w:tcW w:w="5386" w:type="dxa"/>
            <w:tcBorders>
              <w:top w:val="nil"/>
              <w:bottom w:val="nil"/>
            </w:tcBorders>
          </w:tcPr>
          <w:p w14:paraId="1FA0958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7.特殊身分客戶交易限制之控管，如華僑、外國人，證券商內部人員等。</w:t>
            </w:r>
          </w:p>
        </w:tc>
        <w:tc>
          <w:tcPr>
            <w:tcW w:w="5387" w:type="dxa"/>
            <w:tcBorders>
              <w:top w:val="nil"/>
              <w:bottom w:val="nil"/>
            </w:tcBorders>
          </w:tcPr>
          <w:p w14:paraId="6E94190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7.特殊身分客戶交易限制之控管，如華僑、外國人，證券商內部人員等。</w:t>
            </w:r>
          </w:p>
        </w:tc>
        <w:tc>
          <w:tcPr>
            <w:tcW w:w="2023" w:type="dxa"/>
            <w:vMerge/>
            <w:tcBorders>
              <w:right w:val="single" w:sz="12" w:space="0" w:color="auto"/>
            </w:tcBorders>
          </w:tcPr>
          <w:p w14:paraId="42901C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3D7C37" w14:textId="77777777">
        <w:tc>
          <w:tcPr>
            <w:tcW w:w="1384" w:type="dxa"/>
            <w:vMerge/>
            <w:tcBorders>
              <w:left w:val="single" w:sz="12" w:space="0" w:color="auto"/>
            </w:tcBorders>
          </w:tcPr>
          <w:p w14:paraId="1716B619" w14:textId="77777777" w:rsidR="003B3105" w:rsidRDefault="003B3105" w:rsidP="001E533B">
            <w:pPr>
              <w:rPr>
                <w:rFonts w:ascii="新細明體" w:eastAsia="新細明體" w:hAnsi="新細明體"/>
              </w:rPr>
            </w:pPr>
          </w:p>
        </w:tc>
        <w:tc>
          <w:tcPr>
            <w:tcW w:w="1276" w:type="dxa"/>
            <w:vMerge/>
          </w:tcPr>
          <w:p w14:paraId="5D54A948" w14:textId="77777777" w:rsidR="003B3105" w:rsidRDefault="003B3105" w:rsidP="001E533B">
            <w:pPr>
              <w:rPr>
                <w:rFonts w:ascii="新細明體" w:eastAsia="新細明體" w:hAnsi="新細明體"/>
              </w:rPr>
            </w:pPr>
          </w:p>
        </w:tc>
        <w:tc>
          <w:tcPr>
            <w:tcW w:w="5386" w:type="dxa"/>
            <w:tcBorders>
              <w:top w:val="nil"/>
              <w:bottom w:val="nil"/>
            </w:tcBorders>
          </w:tcPr>
          <w:p w14:paraId="13EF24F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8.融資融券股票限制之控管，包括限資限券、停資停券、或自辦券商資券餘額限制等。</w:t>
            </w:r>
          </w:p>
        </w:tc>
        <w:tc>
          <w:tcPr>
            <w:tcW w:w="5387" w:type="dxa"/>
            <w:tcBorders>
              <w:top w:val="nil"/>
              <w:bottom w:val="nil"/>
            </w:tcBorders>
          </w:tcPr>
          <w:p w14:paraId="5869201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8.融資融券股票限制之控管，包括限資限券、停資停券、或自辦券商資券餘額限制等。</w:t>
            </w:r>
          </w:p>
        </w:tc>
        <w:tc>
          <w:tcPr>
            <w:tcW w:w="2023" w:type="dxa"/>
            <w:vMerge/>
            <w:tcBorders>
              <w:right w:val="single" w:sz="12" w:space="0" w:color="auto"/>
            </w:tcBorders>
          </w:tcPr>
          <w:p w14:paraId="540029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FA30E83" w14:textId="77777777">
        <w:tc>
          <w:tcPr>
            <w:tcW w:w="1384" w:type="dxa"/>
            <w:vMerge/>
            <w:tcBorders>
              <w:left w:val="single" w:sz="12" w:space="0" w:color="auto"/>
            </w:tcBorders>
          </w:tcPr>
          <w:p w14:paraId="42D30C84" w14:textId="77777777" w:rsidR="003B3105" w:rsidRDefault="003B3105" w:rsidP="001E533B">
            <w:pPr>
              <w:rPr>
                <w:rFonts w:ascii="新細明體" w:eastAsia="新細明體" w:hAnsi="新細明體"/>
              </w:rPr>
            </w:pPr>
          </w:p>
        </w:tc>
        <w:tc>
          <w:tcPr>
            <w:tcW w:w="1276" w:type="dxa"/>
            <w:vMerge/>
          </w:tcPr>
          <w:p w14:paraId="3594092F" w14:textId="77777777" w:rsidR="003B3105" w:rsidRDefault="003B3105" w:rsidP="001E533B">
            <w:pPr>
              <w:rPr>
                <w:rFonts w:ascii="新細明體" w:eastAsia="新細明體" w:hAnsi="新細明體"/>
              </w:rPr>
            </w:pPr>
          </w:p>
        </w:tc>
        <w:tc>
          <w:tcPr>
            <w:tcW w:w="5386" w:type="dxa"/>
            <w:tcBorders>
              <w:top w:val="nil"/>
              <w:bottom w:val="nil"/>
            </w:tcBorders>
          </w:tcPr>
          <w:p w14:paraId="0B3112C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9.零股、鉅額交易限制之控管。</w:t>
            </w:r>
          </w:p>
        </w:tc>
        <w:tc>
          <w:tcPr>
            <w:tcW w:w="5387" w:type="dxa"/>
            <w:tcBorders>
              <w:top w:val="nil"/>
              <w:bottom w:val="nil"/>
            </w:tcBorders>
          </w:tcPr>
          <w:p w14:paraId="74A98FA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9.零股、鉅額交易限制之控管。</w:t>
            </w:r>
          </w:p>
        </w:tc>
        <w:tc>
          <w:tcPr>
            <w:tcW w:w="2023" w:type="dxa"/>
            <w:vMerge/>
            <w:tcBorders>
              <w:right w:val="single" w:sz="12" w:space="0" w:color="auto"/>
            </w:tcBorders>
          </w:tcPr>
          <w:p w14:paraId="27F8676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1849BC4" w14:textId="77777777">
        <w:tc>
          <w:tcPr>
            <w:tcW w:w="1384" w:type="dxa"/>
            <w:vMerge/>
            <w:tcBorders>
              <w:left w:val="single" w:sz="12" w:space="0" w:color="auto"/>
            </w:tcBorders>
          </w:tcPr>
          <w:p w14:paraId="2D70B7B8" w14:textId="77777777" w:rsidR="003B3105" w:rsidRDefault="003B3105" w:rsidP="001E533B">
            <w:pPr>
              <w:rPr>
                <w:rFonts w:ascii="新細明體" w:eastAsia="新細明體" w:hAnsi="新細明體"/>
              </w:rPr>
            </w:pPr>
          </w:p>
        </w:tc>
        <w:tc>
          <w:tcPr>
            <w:tcW w:w="1276" w:type="dxa"/>
            <w:vMerge/>
          </w:tcPr>
          <w:p w14:paraId="5844D8B2" w14:textId="77777777" w:rsidR="003B3105" w:rsidRDefault="003B3105" w:rsidP="001E533B">
            <w:pPr>
              <w:rPr>
                <w:rFonts w:ascii="新細明體" w:eastAsia="新細明體" w:hAnsi="新細明體"/>
              </w:rPr>
            </w:pPr>
          </w:p>
        </w:tc>
        <w:tc>
          <w:tcPr>
            <w:tcW w:w="5386" w:type="dxa"/>
            <w:tcBorders>
              <w:top w:val="nil"/>
              <w:bottom w:val="nil"/>
            </w:tcBorders>
          </w:tcPr>
          <w:p w14:paraId="643A101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10.(刪除)</w:t>
            </w:r>
          </w:p>
        </w:tc>
        <w:tc>
          <w:tcPr>
            <w:tcW w:w="5387" w:type="dxa"/>
            <w:tcBorders>
              <w:top w:val="nil"/>
              <w:bottom w:val="nil"/>
            </w:tcBorders>
          </w:tcPr>
          <w:p w14:paraId="2288EE2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10.(刪除)</w:t>
            </w:r>
          </w:p>
        </w:tc>
        <w:tc>
          <w:tcPr>
            <w:tcW w:w="2023" w:type="dxa"/>
            <w:vMerge/>
            <w:tcBorders>
              <w:right w:val="single" w:sz="12" w:space="0" w:color="auto"/>
            </w:tcBorders>
          </w:tcPr>
          <w:p w14:paraId="7A24D17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D2FD372" w14:textId="77777777">
        <w:tc>
          <w:tcPr>
            <w:tcW w:w="1384" w:type="dxa"/>
            <w:vMerge/>
            <w:tcBorders>
              <w:left w:val="single" w:sz="12" w:space="0" w:color="auto"/>
            </w:tcBorders>
          </w:tcPr>
          <w:p w14:paraId="0758B0CF" w14:textId="77777777" w:rsidR="003B3105" w:rsidRDefault="003B3105" w:rsidP="001E533B">
            <w:pPr>
              <w:rPr>
                <w:rFonts w:ascii="新細明體" w:eastAsia="新細明體" w:hAnsi="新細明體"/>
              </w:rPr>
            </w:pPr>
          </w:p>
        </w:tc>
        <w:tc>
          <w:tcPr>
            <w:tcW w:w="1276" w:type="dxa"/>
            <w:vMerge/>
          </w:tcPr>
          <w:p w14:paraId="70839963" w14:textId="77777777" w:rsidR="003B3105" w:rsidRDefault="003B3105" w:rsidP="001E533B">
            <w:pPr>
              <w:rPr>
                <w:rFonts w:ascii="新細明體" w:eastAsia="新細明體" w:hAnsi="新細明體"/>
              </w:rPr>
            </w:pPr>
          </w:p>
        </w:tc>
        <w:tc>
          <w:tcPr>
            <w:tcW w:w="5386" w:type="dxa"/>
            <w:tcBorders>
              <w:top w:val="nil"/>
              <w:bottom w:val="nil"/>
            </w:tcBorders>
          </w:tcPr>
          <w:p w14:paraId="03A060E8"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11.交易帳戶有效性之控管，如開戶手續未完備、違約及解約等帳戶之禁止買賣。</w:t>
            </w:r>
          </w:p>
        </w:tc>
        <w:tc>
          <w:tcPr>
            <w:tcW w:w="5387" w:type="dxa"/>
            <w:tcBorders>
              <w:top w:val="nil"/>
              <w:bottom w:val="nil"/>
            </w:tcBorders>
          </w:tcPr>
          <w:p w14:paraId="3AB25429"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11.交易帳戶有效性之控管，如開戶手續未完備、違約及解約等帳戶之禁止買賣。</w:t>
            </w:r>
          </w:p>
        </w:tc>
        <w:tc>
          <w:tcPr>
            <w:tcW w:w="2023" w:type="dxa"/>
            <w:vMerge/>
            <w:tcBorders>
              <w:right w:val="single" w:sz="12" w:space="0" w:color="auto"/>
            </w:tcBorders>
          </w:tcPr>
          <w:p w14:paraId="6653855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469A9A" w14:textId="77777777">
        <w:tc>
          <w:tcPr>
            <w:tcW w:w="1384" w:type="dxa"/>
            <w:vMerge/>
            <w:tcBorders>
              <w:left w:val="single" w:sz="12" w:space="0" w:color="auto"/>
            </w:tcBorders>
          </w:tcPr>
          <w:p w14:paraId="1ECF78A9" w14:textId="77777777" w:rsidR="003B3105" w:rsidRDefault="003B3105" w:rsidP="001E533B">
            <w:pPr>
              <w:rPr>
                <w:rFonts w:ascii="新細明體" w:eastAsia="新細明體" w:hAnsi="新細明體"/>
              </w:rPr>
            </w:pPr>
          </w:p>
        </w:tc>
        <w:tc>
          <w:tcPr>
            <w:tcW w:w="1276" w:type="dxa"/>
            <w:vMerge/>
          </w:tcPr>
          <w:p w14:paraId="1854A05F" w14:textId="77777777" w:rsidR="003B3105" w:rsidRDefault="003B3105" w:rsidP="001E533B">
            <w:pPr>
              <w:rPr>
                <w:rFonts w:ascii="新細明體" w:eastAsia="新細明體" w:hAnsi="新細明體"/>
              </w:rPr>
            </w:pPr>
          </w:p>
        </w:tc>
        <w:tc>
          <w:tcPr>
            <w:tcW w:w="5386" w:type="dxa"/>
            <w:tcBorders>
              <w:top w:val="nil"/>
              <w:bottom w:val="nil"/>
            </w:tcBorders>
          </w:tcPr>
          <w:p w14:paraId="0199201A"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12.客戶委託賣出證券時集保餘額之檢查；依規定應指定保管銀行（保管機構）之客戶，公司得視風險管控之需要，自行決定是否檢查其集保餘額。</w:t>
            </w:r>
          </w:p>
        </w:tc>
        <w:tc>
          <w:tcPr>
            <w:tcW w:w="5387" w:type="dxa"/>
            <w:tcBorders>
              <w:top w:val="nil"/>
              <w:bottom w:val="nil"/>
            </w:tcBorders>
          </w:tcPr>
          <w:p w14:paraId="6A7132C6" w14:textId="77777777" w:rsidR="003B3105" w:rsidRPr="00F6439B" w:rsidRDefault="0027008E" w:rsidP="003B3105">
            <w:pPr>
              <w:spacing w:line="360" w:lineRule="exact"/>
              <w:ind w:leftChars="165" w:left="741" w:hangingChars="120" w:hanging="312"/>
              <w:rPr>
                <w:rFonts w:ascii="新細明體" w:eastAsia="新細明體" w:hAnsi="新細明體" w:cs="新細明體"/>
              </w:rPr>
            </w:pPr>
            <w:r>
              <w:rPr>
                <w:rFonts w:ascii="新細明體" w:eastAsia="新細明體" w:hAnsi="新細明體" w:cs="新細明體" w:hint="eastAsia"/>
              </w:rPr>
              <w:t>12.客戶委託賣出證券時集保餘額之檢查；依規定應指定保管銀行（保管機構）之客戶，公司得視風險管控之需要，自行決定是否檢查其集保餘額。</w:t>
            </w:r>
          </w:p>
        </w:tc>
        <w:tc>
          <w:tcPr>
            <w:tcW w:w="2023" w:type="dxa"/>
            <w:vMerge/>
            <w:tcBorders>
              <w:right w:val="single" w:sz="12" w:space="0" w:color="auto"/>
            </w:tcBorders>
          </w:tcPr>
          <w:p w14:paraId="13B5D20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F7ED0F" w14:textId="77777777">
        <w:tc>
          <w:tcPr>
            <w:tcW w:w="1384" w:type="dxa"/>
            <w:vMerge/>
            <w:tcBorders>
              <w:left w:val="single" w:sz="12" w:space="0" w:color="auto"/>
            </w:tcBorders>
          </w:tcPr>
          <w:p w14:paraId="4CA5D3CC" w14:textId="77777777" w:rsidR="003B3105" w:rsidRDefault="003B3105" w:rsidP="001E533B">
            <w:pPr>
              <w:rPr>
                <w:rFonts w:ascii="新細明體" w:eastAsia="新細明體" w:hAnsi="新細明體"/>
              </w:rPr>
            </w:pPr>
          </w:p>
        </w:tc>
        <w:tc>
          <w:tcPr>
            <w:tcW w:w="1276" w:type="dxa"/>
            <w:vMerge/>
          </w:tcPr>
          <w:p w14:paraId="10BB0863" w14:textId="77777777" w:rsidR="003B3105" w:rsidRDefault="003B3105" w:rsidP="001E533B">
            <w:pPr>
              <w:rPr>
                <w:rFonts w:ascii="新細明體" w:eastAsia="新細明體" w:hAnsi="新細明體"/>
              </w:rPr>
            </w:pPr>
          </w:p>
        </w:tc>
        <w:tc>
          <w:tcPr>
            <w:tcW w:w="5386" w:type="dxa"/>
            <w:tcBorders>
              <w:top w:val="nil"/>
              <w:bottom w:val="nil"/>
            </w:tcBorders>
          </w:tcPr>
          <w:p w14:paraId="723D782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(十九)開辦網際網路等電子式交易型態業務時，與交易有關之業務憑證，包括書面文件或電磁紀錄，其保存年限是否比照「證券商帳表憑證保存年限表」規定辦理。</w:t>
            </w:r>
          </w:p>
        </w:tc>
        <w:tc>
          <w:tcPr>
            <w:tcW w:w="5387" w:type="dxa"/>
            <w:tcBorders>
              <w:top w:val="nil"/>
              <w:bottom w:val="nil"/>
            </w:tcBorders>
          </w:tcPr>
          <w:p w14:paraId="3B38821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(十九)開辦網際網路等電子式交易型態業務時，與交易有關之業務憑證，包括書面文件或電磁紀錄，其保存年限是否比照「證券商帳表憑證保存年限表」規定辦理。</w:t>
            </w:r>
          </w:p>
        </w:tc>
        <w:tc>
          <w:tcPr>
            <w:tcW w:w="2023" w:type="dxa"/>
            <w:vMerge/>
            <w:tcBorders>
              <w:right w:val="single" w:sz="12" w:space="0" w:color="auto"/>
            </w:tcBorders>
          </w:tcPr>
          <w:p w14:paraId="01E345C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BEFB04" w14:textId="77777777">
        <w:tc>
          <w:tcPr>
            <w:tcW w:w="1384" w:type="dxa"/>
            <w:vMerge/>
            <w:tcBorders>
              <w:left w:val="single" w:sz="12" w:space="0" w:color="auto"/>
            </w:tcBorders>
          </w:tcPr>
          <w:p w14:paraId="704E1A29" w14:textId="77777777" w:rsidR="003B3105" w:rsidRDefault="003B3105" w:rsidP="001E533B">
            <w:pPr>
              <w:rPr>
                <w:rFonts w:ascii="新細明體" w:eastAsia="新細明體" w:hAnsi="新細明體"/>
              </w:rPr>
            </w:pPr>
          </w:p>
        </w:tc>
        <w:tc>
          <w:tcPr>
            <w:tcW w:w="1276" w:type="dxa"/>
            <w:vMerge/>
          </w:tcPr>
          <w:p w14:paraId="7F4E9330" w14:textId="77777777" w:rsidR="003B3105" w:rsidRDefault="003B3105" w:rsidP="001E533B">
            <w:pPr>
              <w:rPr>
                <w:rFonts w:ascii="新細明體" w:eastAsia="新細明體" w:hAnsi="新細明體"/>
              </w:rPr>
            </w:pPr>
          </w:p>
        </w:tc>
        <w:tc>
          <w:tcPr>
            <w:tcW w:w="5386" w:type="dxa"/>
            <w:tcBorders>
              <w:top w:val="nil"/>
              <w:bottom w:val="nil"/>
            </w:tcBorders>
          </w:tcPr>
          <w:p w14:paraId="0471968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(二十)對客戶經由網際網路等電子式交易型態所為之交易委託及查詢，其電腦稽核紀錄(log)是否至少保留五年，但買賣委託有爭議者，應保留至爭議消除為止。</w:t>
            </w:r>
          </w:p>
        </w:tc>
        <w:tc>
          <w:tcPr>
            <w:tcW w:w="5387" w:type="dxa"/>
            <w:tcBorders>
              <w:top w:val="nil"/>
              <w:bottom w:val="nil"/>
            </w:tcBorders>
          </w:tcPr>
          <w:p w14:paraId="14A920F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(二十)對客戶經由網際網路等電子式交易型態所為之交易委託及查詢，其電腦稽核紀錄(log)是否至少保留五年，但買賣委託有爭議者，應保留至爭議消除為止。</w:t>
            </w:r>
          </w:p>
        </w:tc>
        <w:tc>
          <w:tcPr>
            <w:tcW w:w="2023" w:type="dxa"/>
            <w:vMerge/>
            <w:tcBorders>
              <w:right w:val="single" w:sz="12" w:space="0" w:color="auto"/>
            </w:tcBorders>
          </w:tcPr>
          <w:p w14:paraId="3761C49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695C53E" w14:textId="77777777">
        <w:tc>
          <w:tcPr>
            <w:tcW w:w="1384" w:type="dxa"/>
            <w:vMerge/>
            <w:tcBorders>
              <w:left w:val="single" w:sz="12" w:space="0" w:color="auto"/>
            </w:tcBorders>
          </w:tcPr>
          <w:p w14:paraId="05B0AA77" w14:textId="77777777" w:rsidR="003B3105" w:rsidRDefault="003B3105" w:rsidP="001E533B">
            <w:pPr>
              <w:rPr>
                <w:rFonts w:ascii="新細明體" w:eastAsia="新細明體" w:hAnsi="新細明體"/>
              </w:rPr>
            </w:pPr>
          </w:p>
        </w:tc>
        <w:tc>
          <w:tcPr>
            <w:tcW w:w="1276" w:type="dxa"/>
            <w:vMerge/>
          </w:tcPr>
          <w:p w14:paraId="65883AD2" w14:textId="77777777" w:rsidR="003B3105" w:rsidRDefault="003B3105" w:rsidP="001E533B">
            <w:pPr>
              <w:rPr>
                <w:rFonts w:ascii="新細明體" w:eastAsia="新細明體" w:hAnsi="新細明體"/>
              </w:rPr>
            </w:pPr>
          </w:p>
        </w:tc>
        <w:tc>
          <w:tcPr>
            <w:tcW w:w="5386" w:type="dxa"/>
            <w:tcBorders>
              <w:top w:val="nil"/>
              <w:bottom w:val="nil"/>
            </w:tcBorders>
          </w:tcPr>
          <w:p w14:paraId="36456ED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使用網際網路等電子式下單之交易主機及設備是否置於已登記之營業處所，且營業員是否於營業櫃檯內接單。但公司依業務需要，可租用或委外建置電腦機房，或租用或分租電腦設備及系統，惟是否符合證交所及櫃檯買賣中心規定。</w:t>
            </w:r>
          </w:p>
        </w:tc>
        <w:tc>
          <w:tcPr>
            <w:tcW w:w="5387" w:type="dxa"/>
            <w:tcBorders>
              <w:top w:val="nil"/>
              <w:bottom w:val="nil"/>
            </w:tcBorders>
          </w:tcPr>
          <w:p w14:paraId="20BA252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一)使用網際網路等電子式下單之交易主機及設備是否置於已登記之營業處所，且營業員是否於營業櫃檯內接單。但公司依業務需要，可租用或委外建置電腦機房，或租用或分租電腦設備及系統，惟是否符合證交所及櫃檯買賣中心規定。</w:t>
            </w:r>
          </w:p>
        </w:tc>
        <w:tc>
          <w:tcPr>
            <w:tcW w:w="2023" w:type="dxa"/>
            <w:vMerge/>
            <w:tcBorders>
              <w:right w:val="single" w:sz="12" w:space="0" w:color="auto"/>
            </w:tcBorders>
          </w:tcPr>
          <w:p w14:paraId="2030AE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68E8B8" w14:textId="77777777">
        <w:tc>
          <w:tcPr>
            <w:tcW w:w="1384" w:type="dxa"/>
            <w:vMerge/>
            <w:tcBorders>
              <w:left w:val="single" w:sz="12" w:space="0" w:color="auto"/>
            </w:tcBorders>
          </w:tcPr>
          <w:p w14:paraId="3ABCA268" w14:textId="77777777" w:rsidR="003B3105" w:rsidRDefault="003B3105" w:rsidP="001E533B">
            <w:pPr>
              <w:rPr>
                <w:rFonts w:ascii="新細明體" w:eastAsia="新細明體" w:hAnsi="新細明體"/>
              </w:rPr>
            </w:pPr>
          </w:p>
        </w:tc>
        <w:tc>
          <w:tcPr>
            <w:tcW w:w="1276" w:type="dxa"/>
            <w:vMerge/>
          </w:tcPr>
          <w:p w14:paraId="71AF432C" w14:textId="77777777" w:rsidR="003B3105" w:rsidRDefault="003B3105" w:rsidP="001E533B">
            <w:pPr>
              <w:rPr>
                <w:rFonts w:ascii="新細明體" w:eastAsia="新細明體" w:hAnsi="新細明體"/>
              </w:rPr>
            </w:pPr>
          </w:p>
        </w:tc>
        <w:tc>
          <w:tcPr>
            <w:tcW w:w="5386" w:type="dxa"/>
            <w:tcBorders>
              <w:top w:val="nil"/>
              <w:bottom w:val="nil"/>
            </w:tcBorders>
          </w:tcPr>
          <w:p w14:paraId="6BB0F58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(二十二)如透過網際網路等電子式交易型態向客戶提供投資諮詢服務時，是否依據證交所（櫃檯買賣中心）「證券商推介客戶買賣有價證券管理辦法」之規定辦理。</w:t>
            </w:r>
          </w:p>
        </w:tc>
        <w:tc>
          <w:tcPr>
            <w:tcW w:w="5387" w:type="dxa"/>
            <w:tcBorders>
              <w:top w:val="nil"/>
              <w:bottom w:val="nil"/>
            </w:tcBorders>
          </w:tcPr>
          <w:p w14:paraId="7EC92B1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(二十二)如透過網際網路等電子式交易型態向客戶提供投資諮詢服務時，是否依據證交所（櫃檯買賣中心）「證券商推介客戶買賣有價證券管理辦法」之規定辦理。</w:t>
            </w:r>
          </w:p>
        </w:tc>
        <w:tc>
          <w:tcPr>
            <w:tcW w:w="2023" w:type="dxa"/>
            <w:vMerge/>
            <w:tcBorders>
              <w:right w:val="single" w:sz="12" w:space="0" w:color="auto"/>
            </w:tcBorders>
          </w:tcPr>
          <w:p w14:paraId="0687F25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AB6F099" w14:textId="77777777">
        <w:tc>
          <w:tcPr>
            <w:tcW w:w="1384" w:type="dxa"/>
            <w:vMerge/>
            <w:tcBorders>
              <w:left w:val="single" w:sz="12" w:space="0" w:color="auto"/>
            </w:tcBorders>
          </w:tcPr>
          <w:p w14:paraId="5BB4B103" w14:textId="77777777" w:rsidR="003B3105" w:rsidRDefault="003B3105" w:rsidP="001E533B">
            <w:pPr>
              <w:rPr>
                <w:rFonts w:ascii="新細明體" w:eastAsia="新細明體" w:hAnsi="新細明體"/>
              </w:rPr>
            </w:pPr>
          </w:p>
        </w:tc>
        <w:tc>
          <w:tcPr>
            <w:tcW w:w="1276" w:type="dxa"/>
            <w:vMerge/>
          </w:tcPr>
          <w:p w14:paraId="3DF79595" w14:textId="77777777" w:rsidR="003B3105" w:rsidRDefault="003B3105" w:rsidP="001E533B">
            <w:pPr>
              <w:rPr>
                <w:rFonts w:ascii="新細明體" w:eastAsia="新細明體" w:hAnsi="新細明體"/>
              </w:rPr>
            </w:pPr>
          </w:p>
        </w:tc>
        <w:tc>
          <w:tcPr>
            <w:tcW w:w="5386" w:type="dxa"/>
            <w:tcBorders>
              <w:top w:val="nil"/>
              <w:bottom w:val="nil"/>
            </w:tcBorders>
          </w:tcPr>
          <w:p w14:paraId="5E3258A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三)對於以語音、網際網路、專線、封閉式專屬網路等電子式交易型態委託者，得免製作、代填委託書，或以電子方式填具委託書且符合證交所（櫃檯買賣中心）規定而未逐一列印委託書者，是否依時序別列印買賣委託紀錄，並於收市後由受託買賣人員簽章，委託紀錄是否含委託人姓名或帳號、委託時間、證券種類、價格(限價或市價)、數量、買賣別、有效期間、有效期別(當日有效、立即成交否則取消、立即全部成交否則取消)、營業員姓名或代碼、委託方式等，以網</w:t>
            </w:r>
            <w:r>
              <w:rPr>
                <w:rFonts w:ascii="新細明體" w:eastAsia="新細明體" w:hAnsi="新細明體" w:cs="新細明體" w:hint="eastAsia"/>
              </w:rPr>
              <w:lastRenderedPageBreak/>
              <w:t>際網路委託者，是否記錄其網路位址(IP)及電子簽章；以語音委託者，是否配合電信機構開放顯示發話端號碼之功能，記錄其來電號碼。為加強風險控管，對於委託人以語音方式委託買賣有價證券未顯示來電號碼者，是否每週篩選語音下單未記錄發話端號碼之客戶明細，查明原因及確認是否為本人下單，並作成紀錄備查(同一年度已作成紀錄者得不再執行查明作業，惟每年至少應重新向已查明未顯示發話號碼之客戶再進行查明作業)。</w:t>
            </w:r>
          </w:p>
        </w:tc>
        <w:tc>
          <w:tcPr>
            <w:tcW w:w="5387" w:type="dxa"/>
            <w:tcBorders>
              <w:top w:val="nil"/>
              <w:bottom w:val="nil"/>
            </w:tcBorders>
          </w:tcPr>
          <w:p w14:paraId="4C7F211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二十三)對於以語音、網際網路、專線、封閉式專屬網路等電子式交易型態委託者，得免製作、代填委託書，或以電子方式填具委託書且符合證交所（櫃檯買賣中心）規定而未逐一列印委託書者，是否依時序別列印買賣委託紀錄，並於收市後由受託買賣人員簽章，委託紀錄是否含委託人姓名或帳號、委託時間、證券種類、價格(限價或市價)、數量、買賣別、有效期間、有效期別(當日有效、立即成交否則取消、立即全部成交否則取消)、營業員姓名或代碼、委託方式等，以網</w:t>
            </w:r>
            <w:r>
              <w:rPr>
                <w:rFonts w:ascii="新細明體" w:eastAsia="新細明體" w:hAnsi="新細明體" w:cs="新細明體" w:hint="eastAsia"/>
              </w:rPr>
              <w:lastRenderedPageBreak/>
              <w:t>際網路委託者，是否記錄其網路位址(IP)及電子簽章；以語音委託者，是否配合電信機構開放顯示發話端號碼之功能，記錄其來電號碼。為加強風險控管，對於委託人以語音方式委託買賣有價證券未顯示來電號碼者，是否每週篩選語音下單未記錄發話端號碼之客戶明細，查明原因及確認是否為本人下單，並作成紀錄備查(同一年度已作成紀錄者得不再執行查明作業，惟每年至少應重新向已查明未顯示發話號碼之客戶再進行查明作業)。</w:t>
            </w:r>
          </w:p>
        </w:tc>
        <w:tc>
          <w:tcPr>
            <w:tcW w:w="2023" w:type="dxa"/>
            <w:vMerge/>
            <w:tcBorders>
              <w:right w:val="single" w:sz="12" w:space="0" w:color="auto"/>
            </w:tcBorders>
          </w:tcPr>
          <w:p w14:paraId="4425017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FF0CF7" w14:textId="77777777">
        <w:tc>
          <w:tcPr>
            <w:tcW w:w="1384" w:type="dxa"/>
            <w:vMerge/>
            <w:tcBorders>
              <w:left w:val="single" w:sz="12" w:space="0" w:color="auto"/>
            </w:tcBorders>
          </w:tcPr>
          <w:p w14:paraId="373915C5" w14:textId="77777777" w:rsidR="003B3105" w:rsidRDefault="003B3105" w:rsidP="001E533B">
            <w:pPr>
              <w:rPr>
                <w:rFonts w:ascii="新細明體" w:eastAsia="新細明體" w:hAnsi="新細明體"/>
              </w:rPr>
            </w:pPr>
          </w:p>
        </w:tc>
        <w:tc>
          <w:tcPr>
            <w:tcW w:w="1276" w:type="dxa"/>
            <w:vMerge/>
          </w:tcPr>
          <w:p w14:paraId="2404E788" w14:textId="77777777" w:rsidR="003B3105" w:rsidRDefault="003B3105" w:rsidP="001E533B">
            <w:pPr>
              <w:rPr>
                <w:rFonts w:ascii="新細明體" w:eastAsia="新細明體" w:hAnsi="新細明體"/>
              </w:rPr>
            </w:pPr>
          </w:p>
        </w:tc>
        <w:tc>
          <w:tcPr>
            <w:tcW w:w="5386" w:type="dxa"/>
            <w:tcBorders>
              <w:top w:val="nil"/>
              <w:bottom w:val="nil"/>
            </w:tcBorders>
          </w:tcPr>
          <w:p w14:paraId="6B331263"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受理非電子式交易型態之委託買賣且採電子方式填具委託書，或受理電子式交易型態之委託買賣，是否依時序別列印買賣委託紀錄，並於收市後由受託買賣人員簽章，但買賣委託紀錄儲存作業符合證交所（櫃檯買賣中心）規定者，得免列印買賣委託紀錄。</w:t>
            </w:r>
          </w:p>
        </w:tc>
        <w:tc>
          <w:tcPr>
            <w:tcW w:w="5387" w:type="dxa"/>
            <w:tcBorders>
              <w:top w:val="nil"/>
              <w:bottom w:val="nil"/>
            </w:tcBorders>
          </w:tcPr>
          <w:p w14:paraId="215552D5"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受理非電子式交易型態之委託買賣且採電子方式填具委託書，或受理電子式交易型態之委託買賣，是否依時序別列印買賣委託紀錄，並於收市後由受託買賣人員簽章，但買賣委託紀錄儲存作業符合證交所（櫃檯買賣中心）規定者，得免列印買賣委託紀錄。</w:t>
            </w:r>
          </w:p>
        </w:tc>
        <w:tc>
          <w:tcPr>
            <w:tcW w:w="2023" w:type="dxa"/>
            <w:vMerge/>
            <w:tcBorders>
              <w:right w:val="single" w:sz="12" w:space="0" w:color="auto"/>
            </w:tcBorders>
          </w:tcPr>
          <w:p w14:paraId="61577A6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2EC43BE" w14:textId="77777777">
        <w:tc>
          <w:tcPr>
            <w:tcW w:w="1384" w:type="dxa"/>
            <w:vMerge/>
            <w:tcBorders>
              <w:left w:val="single" w:sz="12" w:space="0" w:color="auto"/>
            </w:tcBorders>
          </w:tcPr>
          <w:p w14:paraId="1AA15A3E" w14:textId="77777777" w:rsidR="003B3105" w:rsidRDefault="003B3105" w:rsidP="001E533B">
            <w:pPr>
              <w:rPr>
                <w:rFonts w:ascii="新細明體" w:eastAsia="新細明體" w:hAnsi="新細明體"/>
              </w:rPr>
            </w:pPr>
          </w:p>
        </w:tc>
        <w:tc>
          <w:tcPr>
            <w:tcW w:w="1276" w:type="dxa"/>
            <w:vMerge/>
          </w:tcPr>
          <w:p w14:paraId="3B0FAF66" w14:textId="77777777" w:rsidR="003B3105" w:rsidRDefault="003B3105" w:rsidP="001E533B">
            <w:pPr>
              <w:rPr>
                <w:rFonts w:ascii="新細明體" w:eastAsia="新細明體" w:hAnsi="新細明體"/>
              </w:rPr>
            </w:pPr>
          </w:p>
        </w:tc>
        <w:tc>
          <w:tcPr>
            <w:tcW w:w="5386" w:type="dxa"/>
            <w:tcBorders>
              <w:top w:val="nil"/>
              <w:bottom w:val="nil"/>
            </w:tcBorders>
          </w:tcPr>
          <w:p w14:paraId="63C8C2B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語音、網際網路、專線、封閉式專屬網路等電子式交易型態列印或公司以電子方式填具委託書者，列印之買賣委託紀錄及電腦檔案委託紀錄，買賣無爭議者是否至少保存五年，買賣有爭議者是否保留至爭議消除為止。</w:t>
            </w:r>
          </w:p>
        </w:tc>
        <w:tc>
          <w:tcPr>
            <w:tcW w:w="5387" w:type="dxa"/>
            <w:tcBorders>
              <w:top w:val="nil"/>
              <w:bottom w:val="nil"/>
            </w:tcBorders>
          </w:tcPr>
          <w:p w14:paraId="27E26DC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四)語音、網際網路、專線、封閉式專屬網路等電子式交易型態列印或公司以電子方式填具委託書者，列印之買賣委託紀錄及電腦檔案委託紀錄，買賣無爭議者是否至少保存五年，買賣有爭議者是否保留至爭議消除為止。</w:t>
            </w:r>
          </w:p>
        </w:tc>
        <w:tc>
          <w:tcPr>
            <w:tcW w:w="2023" w:type="dxa"/>
            <w:vMerge/>
            <w:tcBorders>
              <w:right w:val="single" w:sz="12" w:space="0" w:color="auto"/>
            </w:tcBorders>
          </w:tcPr>
          <w:p w14:paraId="349929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15B1BA" w14:textId="77777777">
        <w:tc>
          <w:tcPr>
            <w:tcW w:w="1384" w:type="dxa"/>
            <w:vMerge/>
            <w:tcBorders>
              <w:left w:val="single" w:sz="12" w:space="0" w:color="auto"/>
            </w:tcBorders>
          </w:tcPr>
          <w:p w14:paraId="6CEFCDC0" w14:textId="77777777" w:rsidR="003B3105" w:rsidRDefault="003B3105" w:rsidP="001E533B">
            <w:pPr>
              <w:rPr>
                <w:rFonts w:ascii="新細明體" w:eastAsia="新細明體" w:hAnsi="新細明體"/>
              </w:rPr>
            </w:pPr>
          </w:p>
        </w:tc>
        <w:tc>
          <w:tcPr>
            <w:tcW w:w="1276" w:type="dxa"/>
            <w:vMerge/>
          </w:tcPr>
          <w:p w14:paraId="46B53729" w14:textId="77777777" w:rsidR="003B3105" w:rsidRDefault="003B3105" w:rsidP="001E533B">
            <w:pPr>
              <w:rPr>
                <w:rFonts w:ascii="新細明體" w:eastAsia="新細明體" w:hAnsi="新細明體"/>
              </w:rPr>
            </w:pPr>
          </w:p>
        </w:tc>
        <w:tc>
          <w:tcPr>
            <w:tcW w:w="5386" w:type="dxa"/>
            <w:tcBorders>
              <w:top w:val="nil"/>
              <w:bottom w:val="nil"/>
            </w:tcBorders>
          </w:tcPr>
          <w:p w14:paraId="3111F5D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(二十五)(刪除)</w:t>
            </w:r>
          </w:p>
        </w:tc>
        <w:tc>
          <w:tcPr>
            <w:tcW w:w="5387" w:type="dxa"/>
            <w:tcBorders>
              <w:top w:val="nil"/>
              <w:bottom w:val="nil"/>
            </w:tcBorders>
          </w:tcPr>
          <w:p w14:paraId="1910F9B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(二十五)(刪除)</w:t>
            </w:r>
          </w:p>
        </w:tc>
        <w:tc>
          <w:tcPr>
            <w:tcW w:w="2023" w:type="dxa"/>
            <w:vMerge/>
            <w:tcBorders>
              <w:right w:val="single" w:sz="12" w:space="0" w:color="auto"/>
            </w:tcBorders>
          </w:tcPr>
          <w:p w14:paraId="3B47EB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B9B5CC0" w14:textId="77777777">
        <w:tc>
          <w:tcPr>
            <w:tcW w:w="1384" w:type="dxa"/>
            <w:vMerge/>
            <w:tcBorders>
              <w:left w:val="single" w:sz="12" w:space="0" w:color="auto"/>
            </w:tcBorders>
          </w:tcPr>
          <w:p w14:paraId="485015FF" w14:textId="77777777" w:rsidR="003B3105" w:rsidRDefault="003B3105" w:rsidP="001E533B">
            <w:pPr>
              <w:rPr>
                <w:rFonts w:ascii="新細明體" w:eastAsia="新細明體" w:hAnsi="新細明體"/>
              </w:rPr>
            </w:pPr>
          </w:p>
        </w:tc>
        <w:tc>
          <w:tcPr>
            <w:tcW w:w="1276" w:type="dxa"/>
            <w:vMerge/>
          </w:tcPr>
          <w:p w14:paraId="4368A0EB" w14:textId="77777777" w:rsidR="003B3105" w:rsidRDefault="003B3105" w:rsidP="001E533B">
            <w:pPr>
              <w:rPr>
                <w:rFonts w:ascii="新細明體" w:eastAsia="新細明體" w:hAnsi="新細明體"/>
              </w:rPr>
            </w:pPr>
          </w:p>
        </w:tc>
        <w:tc>
          <w:tcPr>
            <w:tcW w:w="5386" w:type="dxa"/>
            <w:tcBorders>
              <w:top w:val="nil"/>
              <w:bottom w:val="nil"/>
            </w:tcBorders>
          </w:tcPr>
          <w:p w14:paraId="1FF2239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(二十六)(刪除)</w:t>
            </w:r>
          </w:p>
        </w:tc>
        <w:tc>
          <w:tcPr>
            <w:tcW w:w="5387" w:type="dxa"/>
            <w:tcBorders>
              <w:top w:val="nil"/>
              <w:bottom w:val="nil"/>
            </w:tcBorders>
          </w:tcPr>
          <w:p w14:paraId="274B8DD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(二十六)(刪除)</w:t>
            </w:r>
          </w:p>
        </w:tc>
        <w:tc>
          <w:tcPr>
            <w:tcW w:w="2023" w:type="dxa"/>
            <w:vMerge/>
            <w:tcBorders>
              <w:right w:val="single" w:sz="12" w:space="0" w:color="auto"/>
            </w:tcBorders>
          </w:tcPr>
          <w:p w14:paraId="188CC6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C7E4E4" w14:textId="77777777">
        <w:tc>
          <w:tcPr>
            <w:tcW w:w="1384" w:type="dxa"/>
            <w:vMerge/>
            <w:tcBorders>
              <w:left w:val="single" w:sz="12" w:space="0" w:color="auto"/>
            </w:tcBorders>
          </w:tcPr>
          <w:p w14:paraId="424218A0" w14:textId="77777777" w:rsidR="003B3105" w:rsidRDefault="003B3105" w:rsidP="001E533B">
            <w:pPr>
              <w:rPr>
                <w:rFonts w:ascii="新細明體" w:eastAsia="新細明體" w:hAnsi="新細明體"/>
              </w:rPr>
            </w:pPr>
          </w:p>
        </w:tc>
        <w:tc>
          <w:tcPr>
            <w:tcW w:w="1276" w:type="dxa"/>
            <w:vMerge/>
          </w:tcPr>
          <w:p w14:paraId="7CB79B19" w14:textId="77777777" w:rsidR="003B3105" w:rsidRDefault="003B3105" w:rsidP="001E533B">
            <w:pPr>
              <w:rPr>
                <w:rFonts w:ascii="新細明體" w:eastAsia="新細明體" w:hAnsi="新細明體"/>
              </w:rPr>
            </w:pPr>
          </w:p>
        </w:tc>
        <w:tc>
          <w:tcPr>
            <w:tcW w:w="5386" w:type="dxa"/>
            <w:tcBorders>
              <w:top w:val="nil"/>
              <w:bottom w:val="nil"/>
            </w:tcBorders>
          </w:tcPr>
          <w:p w14:paraId="2AC5FA4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(二十七)受託買賣外國有價證券是否依「證券商受託買賣外國有價證券管理規則」及相關規定辦理。</w:t>
            </w:r>
          </w:p>
        </w:tc>
        <w:tc>
          <w:tcPr>
            <w:tcW w:w="5387" w:type="dxa"/>
            <w:tcBorders>
              <w:top w:val="nil"/>
              <w:bottom w:val="nil"/>
            </w:tcBorders>
          </w:tcPr>
          <w:p w14:paraId="081F5AB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(二十七)受託買賣外國有價證券是否依「證券商受託買賣外國有價證券管理規則」及相關規定辦理。</w:t>
            </w:r>
          </w:p>
        </w:tc>
        <w:tc>
          <w:tcPr>
            <w:tcW w:w="2023" w:type="dxa"/>
            <w:vMerge/>
            <w:tcBorders>
              <w:right w:val="single" w:sz="12" w:space="0" w:color="auto"/>
            </w:tcBorders>
          </w:tcPr>
          <w:p w14:paraId="35E8386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7F64341" w14:textId="77777777">
        <w:tc>
          <w:tcPr>
            <w:tcW w:w="1384" w:type="dxa"/>
            <w:vMerge/>
            <w:tcBorders>
              <w:left w:val="single" w:sz="12" w:space="0" w:color="auto"/>
            </w:tcBorders>
          </w:tcPr>
          <w:p w14:paraId="17A4B7C7" w14:textId="77777777" w:rsidR="003B3105" w:rsidRDefault="003B3105" w:rsidP="001E533B">
            <w:pPr>
              <w:rPr>
                <w:rFonts w:ascii="新細明體" w:eastAsia="新細明體" w:hAnsi="新細明體"/>
              </w:rPr>
            </w:pPr>
          </w:p>
        </w:tc>
        <w:tc>
          <w:tcPr>
            <w:tcW w:w="1276" w:type="dxa"/>
            <w:vMerge/>
          </w:tcPr>
          <w:p w14:paraId="252B0292" w14:textId="77777777" w:rsidR="003B3105" w:rsidRDefault="003B3105" w:rsidP="001E533B">
            <w:pPr>
              <w:rPr>
                <w:rFonts w:ascii="新細明體" w:eastAsia="新細明體" w:hAnsi="新細明體"/>
              </w:rPr>
            </w:pPr>
          </w:p>
        </w:tc>
        <w:tc>
          <w:tcPr>
            <w:tcW w:w="5386" w:type="dxa"/>
            <w:tcBorders>
              <w:top w:val="nil"/>
              <w:bottom w:val="nil"/>
            </w:tcBorders>
          </w:tcPr>
          <w:p w14:paraId="7E0E542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(二十八)受理上市上櫃公司之客戶買回其庫藏股票時，是否未於交易時間開始前接受其委託。</w:t>
            </w:r>
          </w:p>
        </w:tc>
        <w:tc>
          <w:tcPr>
            <w:tcW w:w="5387" w:type="dxa"/>
            <w:tcBorders>
              <w:top w:val="nil"/>
              <w:bottom w:val="nil"/>
            </w:tcBorders>
          </w:tcPr>
          <w:p w14:paraId="06BE85E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(二十八)受理上市上櫃公司之客戶買回其庫藏股票時，是否未於交易時間開始前接受其委託。</w:t>
            </w:r>
          </w:p>
        </w:tc>
        <w:tc>
          <w:tcPr>
            <w:tcW w:w="2023" w:type="dxa"/>
            <w:vMerge/>
            <w:tcBorders>
              <w:right w:val="single" w:sz="12" w:space="0" w:color="auto"/>
            </w:tcBorders>
          </w:tcPr>
          <w:p w14:paraId="5624AC6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D99FB6" w14:textId="77777777">
        <w:tc>
          <w:tcPr>
            <w:tcW w:w="1384" w:type="dxa"/>
            <w:vMerge/>
            <w:tcBorders>
              <w:left w:val="single" w:sz="12" w:space="0" w:color="auto"/>
            </w:tcBorders>
          </w:tcPr>
          <w:p w14:paraId="1D7F0708" w14:textId="77777777" w:rsidR="003B3105" w:rsidRDefault="003B3105" w:rsidP="001E533B">
            <w:pPr>
              <w:rPr>
                <w:rFonts w:ascii="新細明體" w:eastAsia="新細明體" w:hAnsi="新細明體"/>
              </w:rPr>
            </w:pPr>
          </w:p>
        </w:tc>
        <w:tc>
          <w:tcPr>
            <w:tcW w:w="1276" w:type="dxa"/>
            <w:vMerge/>
          </w:tcPr>
          <w:p w14:paraId="2D3D7F65" w14:textId="77777777" w:rsidR="003B3105" w:rsidRDefault="003B3105" w:rsidP="001E533B">
            <w:pPr>
              <w:rPr>
                <w:rFonts w:ascii="新細明體" w:eastAsia="新細明體" w:hAnsi="新細明體"/>
              </w:rPr>
            </w:pPr>
          </w:p>
        </w:tc>
        <w:tc>
          <w:tcPr>
            <w:tcW w:w="5386" w:type="dxa"/>
            <w:tcBorders>
              <w:top w:val="nil"/>
              <w:bottom w:val="nil"/>
            </w:tcBorders>
          </w:tcPr>
          <w:p w14:paraId="2B4D161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代理證券金融公司辦理信用交易相關業務時（自辦融資融券證券商不適用），是否依證交所營業細則第七十八條或櫃檯買賣中心業務規則第六十二條之一之規定辦理，對每一營業日受託買賣單一股票融資融券張數超過各證券金融公司送達之「融資融券額度分配表」上所分配之融資融券額度時，是否事先取得證金公司之同意後，並填寫制度化聯繫之申請控管表，以作為業務執行之依據，且公司是否將洽請證券金融公司之程序納入電話錄音以供查核。</w:t>
            </w:r>
          </w:p>
        </w:tc>
        <w:tc>
          <w:tcPr>
            <w:tcW w:w="5387" w:type="dxa"/>
            <w:tcBorders>
              <w:top w:val="nil"/>
              <w:bottom w:val="nil"/>
            </w:tcBorders>
          </w:tcPr>
          <w:p w14:paraId="4755465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二十九)代理證券金融公司辦理信用交易相關業務時（自辦融資融券證券商不適用），是否依證交所營業細則第七十八條或櫃檯買賣中心業務規則第六十二條之一之規定辦理，對每一營業日受託買賣單一股票融資融券張數超過各證券金融公司送達之「融資融券額度分配表」上所分配之融資融券額度時，是否事先取得證金公司之同意後，並填寫制度化聯繫之申請控管表，以作為業務執行之依據，且公司是否將洽請證券金融公司之程序納入電話錄音以供查核。</w:t>
            </w:r>
          </w:p>
        </w:tc>
        <w:tc>
          <w:tcPr>
            <w:tcW w:w="2023" w:type="dxa"/>
            <w:vMerge/>
            <w:tcBorders>
              <w:right w:val="single" w:sz="12" w:space="0" w:color="auto"/>
            </w:tcBorders>
          </w:tcPr>
          <w:p w14:paraId="2D79986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6F4013" w14:textId="77777777">
        <w:tc>
          <w:tcPr>
            <w:tcW w:w="1384" w:type="dxa"/>
            <w:vMerge/>
            <w:tcBorders>
              <w:left w:val="single" w:sz="12" w:space="0" w:color="auto"/>
            </w:tcBorders>
          </w:tcPr>
          <w:p w14:paraId="33D0C43D" w14:textId="77777777" w:rsidR="003B3105" w:rsidRDefault="003B3105" w:rsidP="001E533B">
            <w:pPr>
              <w:rPr>
                <w:rFonts w:ascii="新細明體" w:eastAsia="新細明體" w:hAnsi="新細明體"/>
              </w:rPr>
            </w:pPr>
          </w:p>
        </w:tc>
        <w:tc>
          <w:tcPr>
            <w:tcW w:w="1276" w:type="dxa"/>
            <w:vMerge/>
          </w:tcPr>
          <w:p w14:paraId="6B0517B2" w14:textId="77777777" w:rsidR="003B3105" w:rsidRDefault="003B3105" w:rsidP="001E533B">
            <w:pPr>
              <w:rPr>
                <w:rFonts w:ascii="新細明體" w:eastAsia="新細明體" w:hAnsi="新細明體"/>
              </w:rPr>
            </w:pPr>
          </w:p>
        </w:tc>
        <w:tc>
          <w:tcPr>
            <w:tcW w:w="5386" w:type="dxa"/>
            <w:tcBorders>
              <w:top w:val="nil"/>
              <w:bottom w:val="nil"/>
            </w:tcBorders>
          </w:tcPr>
          <w:p w14:paraId="3D6B091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(三十)未經客戶書面同意或契約授權，公司暨受僱員工是否未違法提供客戶名單予證券投資顧問或證券投資信託事業辦理全權委託投資業務之用途。</w:t>
            </w:r>
          </w:p>
        </w:tc>
        <w:tc>
          <w:tcPr>
            <w:tcW w:w="5387" w:type="dxa"/>
            <w:tcBorders>
              <w:top w:val="nil"/>
              <w:bottom w:val="nil"/>
            </w:tcBorders>
          </w:tcPr>
          <w:p w14:paraId="4E479F5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(三十)未經客戶書面同意或契約授權，公司暨受僱員工是否未違法提供客戶名單予證券投資顧問或證券投資信託事業辦理全權委託投資業務之用途。</w:t>
            </w:r>
          </w:p>
        </w:tc>
        <w:tc>
          <w:tcPr>
            <w:tcW w:w="2023" w:type="dxa"/>
            <w:vMerge/>
            <w:tcBorders>
              <w:right w:val="single" w:sz="12" w:space="0" w:color="auto"/>
            </w:tcBorders>
          </w:tcPr>
          <w:p w14:paraId="2CB81E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7CF9AF" w14:textId="77777777">
        <w:tc>
          <w:tcPr>
            <w:tcW w:w="1384" w:type="dxa"/>
            <w:vMerge/>
            <w:tcBorders>
              <w:left w:val="single" w:sz="12" w:space="0" w:color="auto"/>
            </w:tcBorders>
          </w:tcPr>
          <w:p w14:paraId="7CF9D30B" w14:textId="77777777" w:rsidR="003B3105" w:rsidRDefault="003B3105" w:rsidP="001E533B">
            <w:pPr>
              <w:rPr>
                <w:rFonts w:ascii="新細明體" w:eastAsia="新細明體" w:hAnsi="新細明體"/>
              </w:rPr>
            </w:pPr>
          </w:p>
        </w:tc>
        <w:tc>
          <w:tcPr>
            <w:tcW w:w="1276" w:type="dxa"/>
            <w:vMerge/>
          </w:tcPr>
          <w:p w14:paraId="17224B67" w14:textId="77777777" w:rsidR="003B3105" w:rsidRDefault="003B3105" w:rsidP="001E533B">
            <w:pPr>
              <w:rPr>
                <w:rFonts w:ascii="新細明體" w:eastAsia="新細明體" w:hAnsi="新細明體"/>
              </w:rPr>
            </w:pPr>
          </w:p>
        </w:tc>
        <w:tc>
          <w:tcPr>
            <w:tcW w:w="5386" w:type="dxa"/>
            <w:tcBorders>
              <w:top w:val="nil"/>
              <w:bottom w:val="nil"/>
            </w:tcBorders>
          </w:tcPr>
          <w:p w14:paraId="19B3726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(三十一)是否未以公司名義將屬於證券投資顧問事業範圍之資訊代為公開。公司於網站提供資訊時，是否注意不得有變相為特定股票發行公司廣告或推介股票或對不特定人預測行情及涉及證券投資顧問</w:t>
            </w:r>
            <w:r>
              <w:rPr>
                <w:rFonts w:ascii="新細明體" w:eastAsia="新細明體" w:hAnsi="新細明體" w:cs="新細明體" w:hint="eastAsia"/>
              </w:rPr>
              <w:lastRenderedPageBreak/>
              <w:t>業務事項之行為。</w:t>
            </w:r>
          </w:p>
        </w:tc>
        <w:tc>
          <w:tcPr>
            <w:tcW w:w="5387" w:type="dxa"/>
            <w:tcBorders>
              <w:top w:val="nil"/>
              <w:bottom w:val="nil"/>
            </w:tcBorders>
          </w:tcPr>
          <w:p w14:paraId="1437C36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(三十一)是否未以公司名義將屬於證券投資顧問事業範圍之資訊代為公開。公司於網站提供資訊時，是否注意不得有變相為特定股票發行公司廣告或推介股票或對不特定人預測行情及涉及證券投資顧問</w:t>
            </w:r>
            <w:r>
              <w:rPr>
                <w:rFonts w:ascii="新細明體" w:eastAsia="新細明體" w:hAnsi="新細明體" w:cs="新細明體" w:hint="eastAsia"/>
              </w:rPr>
              <w:lastRenderedPageBreak/>
              <w:t>業務事項之行為。</w:t>
            </w:r>
          </w:p>
        </w:tc>
        <w:tc>
          <w:tcPr>
            <w:tcW w:w="2023" w:type="dxa"/>
            <w:vMerge/>
            <w:tcBorders>
              <w:right w:val="single" w:sz="12" w:space="0" w:color="auto"/>
            </w:tcBorders>
          </w:tcPr>
          <w:p w14:paraId="3A507A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4FD229" w14:textId="77777777">
        <w:tc>
          <w:tcPr>
            <w:tcW w:w="1384" w:type="dxa"/>
            <w:vMerge/>
            <w:tcBorders>
              <w:left w:val="single" w:sz="12" w:space="0" w:color="auto"/>
            </w:tcBorders>
          </w:tcPr>
          <w:p w14:paraId="218372D6" w14:textId="77777777" w:rsidR="003B3105" w:rsidRDefault="003B3105" w:rsidP="001E533B">
            <w:pPr>
              <w:rPr>
                <w:rFonts w:ascii="新細明體" w:eastAsia="新細明體" w:hAnsi="新細明體"/>
              </w:rPr>
            </w:pPr>
          </w:p>
        </w:tc>
        <w:tc>
          <w:tcPr>
            <w:tcW w:w="1276" w:type="dxa"/>
            <w:vMerge/>
          </w:tcPr>
          <w:p w14:paraId="4AD9416D" w14:textId="77777777" w:rsidR="003B3105" w:rsidRDefault="003B3105" w:rsidP="001E533B">
            <w:pPr>
              <w:rPr>
                <w:rFonts w:ascii="新細明體" w:eastAsia="新細明體" w:hAnsi="新細明體"/>
              </w:rPr>
            </w:pPr>
          </w:p>
        </w:tc>
        <w:tc>
          <w:tcPr>
            <w:tcW w:w="5386" w:type="dxa"/>
            <w:tcBorders>
              <w:top w:val="nil"/>
              <w:bottom w:val="nil"/>
            </w:tcBorders>
          </w:tcPr>
          <w:p w14:paraId="0BAFC99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(三十二)公司營業處所或所屬網站是否未違規從事媒介客戶買賣非屬興櫃之未上市（櫃）股票，亦未與違法從事仲介未上市（櫃）股票交易之網站連結或策略聯盟，變相為其招攬客戶。</w:t>
            </w:r>
          </w:p>
        </w:tc>
        <w:tc>
          <w:tcPr>
            <w:tcW w:w="5387" w:type="dxa"/>
            <w:tcBorders>
              <w:top w:val="nil"/>
              <w:bottom w:val="nil"/>
            </w:tcBorders>
          </w:tcPr>
          <w:p w14:paraId="71D57B4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(三十二)公司營業處所或所屬網站是否未違規從事媒介客戶買賣非屬興櫃之未上市（櫃）股票，亦未與違法從事仲介未上市（櫃）股票交易之網站連結或策略聯盟，變相為其招攬客戶。</w:t>
            </w:r>
          </w:p>
        </w:tc>
        <w:tc>
          <w:tcPr>
            <w:tcW w:w="2023" w:type="dxa"/>
            <w:vMerge/>
            <w:tcBorders>
              <w:right w:val="single" w:sz="12" w:space="0" w:color="auto"/>
            </w:tcBorders>
          </w:tcPr>
          <w:p w14:paraId="25E708F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9C0D73" w14:textId="77777777">
        <w:tc>
          <w:tcPr>
            <w:tcW w:w="1384" w:type="dxa"/>
            <w:vMerge/>
            <w:tcBorders>
              <w:left w:val="single" w:sz="12" w:space="0" w:color="auto"/>
            </w:tcBorders>
          </w:tcPr>
          <w:p w14:paraId="303E2DFC" w14:textId="77777777" w:rsidR="003B3105" w:rsidRDefault="003B3105" w:rsidP="001E533B">
            <w:pPr>
              <w:rPr>
                <w:rFonts w:ascii="新細明體" w:eastAsia="新細明體" w:hAnsi="新細明體"/>
              </w:rPr>
            </w:pPr>
          </w:p>
        </w:tc>
        <w:tc>
          <w:tcPr>
            <w:tcW w:w="1276" w:type="dxa"/>
            <w:vMerge/>
          </w:tcPr>
          <w:p w14:paraId="5C76F423" w14:textId="77777777" w:rsidR="003B3105" w:rsidRDefault="003B3105" w:rsidP="001E533B">
            <w:pPr>
              <w:rPr>
                <w:rFonts w:ascii="新細明體" w:eastAsia="新細明體" w:hAnsi="新細明體"/>
              </w:rPr>
            </w:pPr>
          </w:p>
        </w:tc>
        <w:tc>
          <w:tcPr>
            <w:tcW w:w="5386" w:type="dxa"/>
            <w:tcBorders>
              <w:top w:val="nil"/>
              <w:bottom w:val="nil"/>
            </w:tcBorders>
          </w:tcPr>
          <w:p w14:paraId="5A80C98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(三十三)公司提供電腦程式設定交易條件下單功能者，對於程式及檔案之存取使用，是否按權限區分並適當控管，以避免客戶下單資料被不當使用或更改。（網際網路交易適用）</w:t>
            </w:r>
          </w:p>
        </w:tc>
        <w:tc>
          <w:tcPr>
            <w:tcW w:w="5387" w:type="dxa"/>
            <w:tcBorders>
              <w:top w:val="nil"/>
              <w:bottom w:val="nil"/>
            </w:tcBorders>
          </w:tcPr>
          <w:p w14:paraId="19BFAE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(三十三)公司提供電腦程式設定交易條件下單功能者，對於程式及檔案之存取使用，是否按權限區分並適當控管，以避免客戶下單資料被不當使用或更改。（網際網路交易適用）</w:t>
            </w:r>
          </w:p>
        </w:tc>
        <w:tc>
          <w:tcPr>
            <w:tcW w:w="2023" w:type="dxa"/>
            <w:vMerge/>
            <w:tcBorders>
              <w:right w:val="single" w:sz="12" w:space="0" w:color="auto"/>
            </w:tcBorders>
          </w:tcPr>
          <w:p w14:paraId="69A4FD7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05E3476" w14:textId="77777777">
        <w:tc>
          <w:tcPr>
            <w:tcW w:w="1384" w:type="dxa"/>
            <w:vMerge/>
            <w:tcBorders>
              <w:left w:val="single" w:sz="12" w:space="0" w:color="auto"/>
            </w:tcBorders>
          </w:tcPr>
          <w:p w14:paraId="72BCEB76" w14:textId="77777777" w:rsidR="003B3105" w:rsidRDefault="003B3105" w:rsidP="001E533B">
            <w:pPr>
              <w:rPr>
                <w:rFonts w:ascii="新細明體" w:eastAsia="新細明體" w:hAnsi="新細明體"/>
              </w:rPr>
            </w:pPr>
          </w:p>
        </w:tc>
        <w:tc>
          <w:tcPr>
            <w:tcW w:w="1276" w:type="dxa"/>
            <w:vMerge/>
          </w:tcPr>
          <w:p w14:paraId="54A20347" w14:textId="77777777" w:rsidR="003B3105" w:rsidRDefault="003B3105" w:rsidP="001E533B">
            <w:pPr>
              <w:rPr>
                <w:rFonts w:ascii="新細明體" w:eastAsia="新細明體" w:hAnsi="新細明體"/>
              </w:rPr>
            </w:pPr>
          </w:p>
        </w:tc>
        <w:tc>
          <w:tcPr>
            <w:tcW w:w="5386" w:type="dxa"/>
            <w:tcBorders>
              <w:top w:val="nil"/>
              <w:bottom w:val="nil"/>
            </w:tcBorders>
          </w:tcPr>
          <w:p w14:paraId="6664ACE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(三十四)使用電腦程式設定交易條件下單功能之客戶是否與公司簽訂契約，規範有關因線路傳輸等問題而導致無法順利執行前開條件下單功能之權利義務關係。（網際網路交易適用）</w:t>
            </w:r>
          </w:p>
        </w:tc>
        <w:tc>
          <w:tcPr>
            <w:tcW w:w="5387" w:type="dxa"/>
            <w:tcBorders>
              <w:top w:val="nil"/>
              <w:bottom w:val="nil"/>
            </w:tcBorders>
          </w:tcPr>
          <w:p w14:paraId="3F4A329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(三十四)使用電腦程式設定交易條件下單功能之客戶是否與公司簽訂契約，規範有關因線路傳輸等問題而導致無法順利執行前開條件下單功能之權利義務關係。（網際網路交易適用）</w:t>
            </w:r>
          </w:p>
        </w:tc>
        <w:tc>
          <w:tcPr>
            <w:tcW w:w="2023" w:type="dxa"/>
            <w:vMerge/>
            <w:tcBorders>
              <w:right w:val="single" w:sz="12" w:space="0" w:color="auto"/>
            </w:tcBorders>
          </w:tcPr>
          <w:p w14:paraId="1C84DEA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1FE1D0" w14:textId="77777777">
        <w:tc>
          <w:tcPr>
            <w:tcW w:w="1384" w:type="dxa"/>
            <w:vMerge/>
            <w:tcBorders>
              <w:left w:val="single" w:sz="12" w:space="0" w:color="auto"/>
            </w:tcBorders>
          </w:tcPr>
          <w:p w14:paraId="290F6883" w14:textId="77777777" w:rsidR="003B3105" w:rsidRDefault="003B3105" w:rsidP="001E533B">
            <w:pPr>
              <w:rPr>
                <w:rFonts w:ascii="新細明體" w:eastAsia="新細明體" w:hAnsi="新細明體"/>
              </w:rPr>
            </w:pPr>
          </w:p>
        </w:tc>
        <w:tc>
          <w:tcPr>
            <w:tcW w:w="1276" w:type="dxa"/>
            <w:vMerge/>
          </w:tcPr>
          <w:p w14:paraId="4F2934AB" w14:textId="77777777" w:rsidR="003B3105" w:rsidRDefault="003B3105" w:rsidP="001E533B">
            <w:pPr>
              <w:rPr>
                <w:rFonts w:ascii="新細明體" w:eastAsia="新細明體" w:hAnsi="新細明體"/>
              </w:rPr>
            </w:pPr>
          </w:p>
        </w:tc>
        <w:tc>
          <w:tcPr>
            <w:tcW w:w="5386" w:type="dxa"/>
            <w:tcBorders>
              <w:top w:val="nil"/>
              <w:bottom w:val="nil"/>
            </w:tcBorders>
          </w:tcPr>
          <w:p w14:paraId="7AD65E1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(三十五)公司與客戶間之有價證券買賣委託及回報方式是否依下列規定辦理：</w:t>
            </w:r>
          </w:p>
        </w:tc>
        <w:tc>
          <w:tcPr>
            <w:tcW w:w="5387" w:type="dxa"/>
            <w:tcBorders>
              <w:top w:val="nil"/>
              <w:bottom w:val="nil"/>
            </w:tcBorders>
          </w:tcPr>
          <w:p w14:paraId="0CE537C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(三十五)公司與客戶間之有價證券買賣委託及回報方式是否依下列規定辦理：</w:t>
            </w:r>
          </w:p>
        </w:tc>
        <w:tc>
          <w:tcPr>
            <w:tcW w:w="2023" w:type="dxa"/>
            <w:vMerge/>
            <w:tcBorders>
              <w:right w:val="single" w:sz="12" w:space="0" w:color="auto"/>
            </w:tcBorders>
          </w:tcPr>
          <w:p w14:paraId="5099C4C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2D49C1" w14:textId="77777777">
        <w:tc>
          <w:tcPr>
            <w:tcW w:w="1384" w:type="dxa"/>
            <w:vMerge/>
            <w:tcBorders>
              <w:left w:val="single" w:sz="12" w:space="0" w:color="auto"/>
            </w:tcBorders>
          </w:tcPr>
          <w:p w14:paraId="0026AD47" w14:textId="77777777" w:rsidR="003B3105" w:rsidRDefault="003B3105" w:rsidP="001E533B">
            <w:pPr>
              <w:rPr>
                <w:rFonts w:ascii="新細明體" w:eastAsia="新細明體" w:hAnsi="新細明體"/>
              </w:rPr>
            </w:pPr>
          </w:p>
        </w:tc>
        <w:tc>
          <w:tcPr>
            <w:tcW w:w="1276" w:type="dxa"/>
            <w:vMerge/>
          </w:tcPr>
          <w:p w14:paraId="66D21F8F" w14:textId="77777777" w:rsidR="003B3105" w:rsidRDefault="003B3105" w:rsidP="001E533B">
            <w:pPr>
              <w:rPr>
                <w:rFonts w:ascii="新細明體" w:eastAsia="新細明體" w:hAnsi="新細明體"/>
              </w:rPr>
            </w:pPr>
          </w:p>
        </w:tc>
        <w:tc>
          <w:tcPr>
            <w:tcW w:w="5386" w:type="dxa"/>
            <w:tcBorders>
              <w:top w:val="nil"/>
              <w:bottom w:val="nil"/>
            </w:tcBorders>
          </w:tcPr>
          <w:p w14:paraId="2611959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1.非電子式交易型態</w:t>
            </w:r>
          </w:p>
        </w:tc>
        <w:tc>
          <w:tcPr>
            <w:tcW w:w="5387" w:type="dxa"/>
            <w:tcBorders>
              <w:top w:val="nil"/>
              <w:bottom w:val="nil"/>
            </w:tcBorders>
          </w:tcPr>
          <w:p w14:paraId="0BA434D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1.非電子式交易型態</w:t>
            </w:r>
          </w:p>
        </w:tc>
        <w:tc>
          <w:tcPr>
            <w:tcW w:w="2023" w:type="dxa"/>
            <w:vMerge/>
            <w:tcBorders>
              <w:right w:val="single" w:sz="12" w:space="0" w:color="auto"/>
            </w:tcBorders>
          </w:tcPr>
          <w:p w14:paraId="358B1EE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9466F4" w14:textId="77777777">
        <w:tc>
          <w:tcPr>
            <w:tcW w:w="1384" w:type="dxa"/>
            <w:vMerge/>
            <w:tcBorders>
              <w:left w:val="single" w:sz="12" w:space="0" w:color="auto"/>
            </w:tcBorders>
          </w:tcPr>
          <w:p w14:paraId="25732FAE" w14:textId="77777777" w:rsidR="003B3105" w:rsidRDefault="003B3105" w:rsidP="001E533B">
            <w:pPr>
              <w:rPr>
                <w:rFonts w:ascii="新細明體" w:eastAsia="新細明體" w:hAnsi="新細明體"/>
              </w:rPr>
            </w:pPr>
          </w:p>
        </w:tc>
        <w:tc>
          <w:tcPr>
            <w:tcW w:w="1276" w:type="dxa"/>
            <w:vMerge/>
          </w:tcPr>
          <w:p w14:paraId="4EF8F363" w14:textId="77777777" w:rsidR="003B3105" w:rsidRDefault="003B3105" w:rsidP="001E533B">
            <w:pPr>
              <w:rPr>
                <w:rFonts w:ascii="新細明體" w:eastAsia="新細明體" w:hAnsi="新細明體"/>
              </w:rPr>
            </w:pPr>
          </w:p>
        </w:tc>
        <w:tc>
          <w:tcPr>
            <w:tcW w:w="5386" w:type="dxa"/>
            <w:tcBorders>
              <w:top w:val="nil"/>
              <w:bottom w:val="nil"/>
            </w:tcBorders>
          </w:tcPr>
          <w:p w14:paraId="3F9DFA40"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其成交回報得採電子郵件、電話、傳真、簡訊、語音或網頁程式。</w:t>
            </w:r>
          </w:p>
        </w:tc>
        <w:tc>
          <w:tcPr>
            <w:tcW w:w="5387" w:type="dxa"/>
            <w:tcBorders>
              <w:top w:val="nil"/>
              <w:bottom w:val="nil"/>
            </w:tcBorders>
          </w:tcPr>
          <w:p w14:paraId="2A96488F"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其成交回報得採電子郵件、電話、傳真、簡訊、語音或網頁程式。</w:t>
            </w:r>
          </w:p>
        </w:tc>
        <w:tc>
          <w:tcPr>
            <w:tcW w:w="2023" w:type="dxa"/>
            <w:vMerge/>
            <w:tcBorders>
              <w:right w:val="single" w:sz="12" w:space="0" w:color="auto"/>
            </w:tcBorders>
          </w:tcPr>
          <w:p w14:paraId="626A71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A2E522" w14:textId="77777777">
        <w:tc>
          <w:tcPr>
            <w:tcW w:w="1384" w:type="dxa"/>
            <w:vMerge/>
            <w:tcBorders>
              <w:left w:val="single" w:sz="12" w:space="0" w:color="auto"/>
            </w:tcBorders>
          </w:tcPr>
          <w:p w14:paraId="603E61DA" w14:textId="77777777" w:rsidR="003B3105" w:rsidRDefault="003B3105" w:rsidP="001E533B">
            <w:pPr>
              <w:rPr>
                <w:rFonts w:ascii="新細明體" w:eastAsia="新細明體" w:hAnsi="新細明體"/>
              </w:rPr>
            </w:pPr>
          </w:p>
        </w:tc>
        <w:tc>
          <w:tcPr>
            <w:tcW w:w="1276" w:type="dxa"/>
            <w:vMerge/>
          </w:tcPr>
          <w:p w14:paraId="543CBF69" w14:textId="77777777" w:rsidR="003B3105" w:rsidRDefault="003B3105" w:rsidP="001E533B">
            <w:pPr>
              <w:rPr>
                <w:rFonts w:ascii="新細明體" w:eastAsia="新細明體" w:hAnsi="新細明體"/>
              </w:rPr>
            </w:pPr>
          </w:p>
        </w:tc>
        <w:tc>
          <w:tcPr>
            <w:tcW w:w="5386" w:type="dxa"/>
            <w:tcBorders>
              <w:top w:val="nil"/>
              <w:bottom w:val="nil"/>
            </w:tcBorders>
          </w:tcPr>
          <w:p w14:paraId="3988097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2.電子式交易型態</w:t>
            </w:r>
          </w:p>
        </w:tc>
        <w:tc>
          <w:tcPr>
            <w:tcW w:w="5387" w:type="dxa"/>
            <w:tcBorders>
              <w:top w:val="nil"/>
              <w:bottom w:val="nil"/>
            </w:tcBorders>
          </w:tcPr>
          <w:p w14:paraId="32E010C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2.電子式交易型態</w:t>
            </w:r>
          </w:p>
        </w:tc>
        <w:tc>
          <w:tcPr>
            <w:tcW w:w="2023" w:type="dxa"/>
            <w:vMerge/>
            <w:tcBorders>
              <w:right w:val="single" w:sz="12" w:space="0" w:color="auto"/>
            </w:tcBorders>
          </w:tcPr>
          <w:p w14:paraId="58F016A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104050" w14:textId="77777777">
        <w:tc>
          <w:tcPr>
            <w:tcW w:w="1384" w:type="dxa"/>
            <w:vMerge/>
            <w:tcBorders>
              <w:left w:val="single" w:sz="12" w:space="0" w:color="auto"/>
            </w:tcBorders>
          </w:tcPr>
          <w:p w14:paraId="3D3D0D9D" w14:textId="77777777" w:rsidR="003B3105" w:rsidRDefault="003B3105" w:rsidP="001E533B">
            <w:pPr>
              <w:rPr>
                <w:rFonts w:ascii="新細明體" w:eastAsia="新細明體" w:hAnsi="新細明體"/>
              </w:rPr>
            </w:pPr>
          </w:p>
        </w:tc>
        <w:tc>
          <w:tcPr>
            <w:tcW w:w="1276" w:type="dxa"/>
            <w:vMerge/>
          </w:tcPr>
          <w:p w14:paraId="6A4005B7" w14:textId="77777777" w:rsidR="003B3105" w:rsidRDefault="003B3105" w:rsidP="001E533B">
            <w:pPr>
              <w:rPr>
                <w:rFonts w:ascii="新細明體" w:eastAsia="新細明體" w:hAnsi="新細明體"/>
              </w:rPr>
            </w:pPr>
          </w:p>
        </w:tc>
        <w:tc>
          <w:tcPr>
            <w:tcW w:w="5386" w:type="dxa"/>
            <w:tcBorders>
              <w:top w:val="nil"/>
              <w:bottom w:val="nil"/>
            </w:tcBorders>
          </w:tcPr>
          <w:p w14:paraId="35283AD6"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除語音委託外，其買賣委託、委託回報及成交回報等電子文件之傳輸，應使用憑證機構所簽發之電子簽章簽署，憑以辨識及確認，但有下列情形者不在此限：</w:t>
            </w:r>
          </w:p>
        </w:tc>
        <w:tc>
          <w:tcPr>
            <w:tcW w:w="5387" w:type="dxa"/>
            <w:tcBorders>
              <w:top w:val="nil"/>
              <w:bottom w:val="nil"/>
            </w:tcBorders>
          </w:tcPr>
          <w:p w14:paraId="6365F929" w14:textId="77777777" w:rsidR="003B3105" w:rsidRPr="00F6439B" w:rsidRDefault="0027008E" w:rsidP="003B3105">
            <w:pPr>
              <w:spacing w:line="360" w:lineRule="exact"/>
              <w:ind w:leftChars="208" w:left="541"/>
              <w:rPr>
                <w:rFonts w:ascii="新細明體" w:eastAsia="新細明體" w:hAnsi="新細明體" w:cs="新細明體"/>
              </w:rPr>
            </w:pPr>
            <w:r>
              <w:rPr>
                <w:rFonts w:ascii="新細明體" w:eastAsia="新細明體" w:hAnsi="新細明體" w:cs="新細明體" w:hint="eastAsia"/>
              </w:rPr>
              <w:t>除語音委託外，其買賣委託、委託回報及成交回報等電子文件之傳輸，應使用憑證機構所簽發之電子簽章簽署，憑以辨識及確認，但有下列情形者不在此限：</w:t>
            </w:r>
          </w:p>
        </w:tc>
        <w:tc>
          <w:tcPr>
            <w:tcW w:w="2023" w:type="dxa"/>
            <w:vMerge/>
            <w:tcBorders>
              <w:right w:val="single" w:sz="12" w:space="0" w:color="auto"/>
            </w:tcBorders>
          </w:tcPr>
          <w:p w14:paraId="5A1476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890110" w14:textId="77777777">
        <w:tc>
          <w:tcPr>
            <w:tcW w:w="1384" w:type="dxa"/>
            <w:vMerge/>
            <w:tcBorders>
              <w:left w:val="single" w:sz="12" w:space="0" w:color="auto"/>
            </w:tcBorders>
          </w:tcPr>
          <w:p w14:paraId="30801B8C" w14:textId="77777777" w:rsidR="003B3105" w:rsidRDefault="003B3105" w:rsidP="001E533B">
            <w:pPr>
              <w:rPr>
                <w:rFonts w:ascii="新細明體" w:eastAsia="新細明體" w:hAnsi="新細明體"/>
              </w:rPr>
            </w:pPr>
          </w:p>
        </w:tc>
        <w:tc>
          <w:tcPr>
            <w:tcW w:w="1276" w:type="dxa"/>
            <w:vMerge/>
          </w:tcPr>
          <w:p w14:paraId="3DADA592" w14:textId="77777777" w:rsidR="003B3105" w:rsidRDefault="003B3105" w:rsidP="001E533B">
            <w:pPr>
              <w:rPr>
                <w:rFonts w:ascii="新細明體" w:eastAsia="新細明體" w:hAnsi="新細明體"/>
              </w:rPr>
            </w:pPr>
          </w:p>
        </w:tc>
        <w:tc>
          <w:tcPr>
            <w:tcW w:w="5386" w:type="dxa"/>
            <w:tcBorders>
              <w:top w:val="nil"/>
              <w:bottom w:val="nil"/>
            </w:tcBorders>
          </w:tcPr>
          <w:p w14:paraId="49B5B87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(1)委託回報及成交回報採電話、傳真、簡</w:t>
            </w:r>
            <w:r>
              <w:rPr>
                <w:rFonts w:ascii="新細明體" w:eastAsia="新細明體" w:hAnsi="新細明體" w:cs="新細明體" w:hint="eastAsia"/>
              </w:rPr>
              <w:lastRenderedPageBreak/>
              <w:t>訊、語音或網頁程式者。</w:t>
            </w:r>
          </w:p>
        </w:tc>
        <w:tc>
          <w:tcPr>
            <w:tcW w:w="5387" w:type="dxa"/>
            <w:tcBorders>
              <w:top w:val="nil"/>
              <w:bottom w:val="nil"/>
            </w:tcBorders>
          </w:tcPr>
          <w:p w14:paraId="5B7292A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(1)委託回報及成交回報採電話、傳真、簡</w:t>
            </w:r>
            <w:r>
              <w:rPr>
                <w:rFonts w:ascii="新細明體" w:eastAsia="新細明體" w:hAnsi="新細明體" w:cs="新細明體" w:hint="eastAsia"/>
              </w:rPr>
              <w:lastRenderedPageBreak/>
              <w:t>訊、語音或網頁程式者。</w:t>
            </w:r>
          </w:p>
        </w:tc>
        <w:tc>
          <w:tcPr>
            <w:tcW w:w="2023" w:type="dxa"/>
            <w:vMerge/>
            <w:tcBorders>
              <w:right w:val="single" w:sz="12" w:space="0" w:color="auto"/>
            </w:tcBorders>
          </w:tcPr>
          <w:p w14:paraId="55721B2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D0734C" w14:textId="77777777">
        <w:tc>
          <w:tcPr>
            <w:tcW w:w="1384" w:type="dxa"/>
            <w:vMerge/>
            <w:tcBorders>
              <w:left w:val="single" w:sz="12" w:space="0" w:color="auto"/>
            </w:tcBorders>
          </w:tcPr>
          <w:p w14:paraId="43FA7E61" w14:textId="77777777" w:rsidR="003B3105" w:rsidRDefault="003B3105" w:rsidP="001E533B">
            <w:pPr>
              <w:rPr>
                <w:rFonts w:ascii="新細明體" w:eastAsia="新細明體" w:hAnsi="新細明體"/>
              </w:rPr>
            </w:pPr>
          </w:p>
        </w:tc>
        <w:tc>
          <w:tcPr>
            <w:tcW w:w="1276" w:type="dxa"/>
            <w:vMerge/>
          </w:tcPr>
          <w:p w14:paraId="7BCF3896" w14:textId="77777777" w:rsidR="003B3105" w:rsidRDefault="003B3105" w:rsidP="001E533B">
            <w:pPr>
              <w:rPr>
                <w:rFonts w:ascii="新細明體" w:eastAsia="新細明體" w:hAnsi="新細明體"/>
              </w:rPr>
            </w:pPr>
          </w:p>
        </w:tc>
        <w:tc>
          <w:tcPr>
            <w:tcW w:w="5386" w:type="dxa"/>
            <w:tcBorders>
              <w:top w:val="nil"/>
              <w:bottom w:val="nil"/>
            </w:tcBorders>
          </w:tcPr>
          <w:p w14:paraId="57BABB2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(2)符合證交所或櫃檯買賣中心「證券經紀商辦理電子式專屬線路下單（DIRECT MARKET ACCESS ）作業要點」豁免條件者。</w:t>
            </w:r>
          </w:p>
        </w:tc>
        <w:tc>
          <w:tcPr>
            <w:tcW w:w="5387" w:type="dxa"/>
            <w:tcBorders>
              <w:top w:val="nil"/>
              <w:bottom w:val="nil"/>
            </w:tcBorders>
          </w:tcPr>
          <w:p w14:paraId="31AB31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(2)符合證交所或櫃檯買賣中心「證券經紀商辦理電子式專屬線路下單（DIRECT MARKET ACCESS ）作業要點」豁免條件者。</w:t>
            </w:r>
          </w:p>
        </w:tc>
        <w:tc>
          <w:tcPr>
            <w:tcW w:w="2023" w:type="dxa"/>
            <w:vMerge/>
            <w:tcBorders>
              <w:right w:val="single" w:sz="12" w:space="0" w:color="auto"/>
            </w:tcBorders>
          </w:tcPr>
          <w:p w14:paraId="0F8462D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35AFE42" w14:textId="77777777">
        <w:tc>
          <w:tcPr>
            <w:tcW w:w="1384" w:type="dxa"/>
            <w:vMerge/>
            <w:tcBorders>
              <w:left w:val="single" w:sz="12" w:space="0" w:color="auto"/>
            </w:tcBorders>
          </w:tcPr>
          <w:p w14:paraId="2BE4165C" w14:textId="77777777" w:rsidR="003B3105" w:rsidRDefault="003B3105" w:rsidP="001E533B">
            <w:pPr>
              <w:rPr>
                <w:rFonts w:ascii="新細明體" w:eastAsia="新細明體" w:hAnsi="新細明體"/>
              </w:rPr>
            </w:pPr>
          </w:p>
        </w:tc>
        <w:tc>
          <w:tcPr>
            <w:tcW w:w="1276" w:type="dxa"/>
            <w:vMerge/>
          </w:tcPr>
          <w:p w14:paraId="683A828A" w14:textId="77777777" w:rsidR="003B3105" w:rsidRDefault="003B3105" w:rsidP="001E533B">
            <w:pPr>
              <w:rPr>
                <w:rFonts w:ascii="新細明體" w:eastAsia="新細明體" w:hAnsi="新細明體"/>
              </w:rPr>
            </w:pPr>
          </w:p>
        </w:tc>
        <w:tc>
          <w:tcPr>
            <w:tcW w:w="5386" w:type="dxa"/>
            <w:tcBorders>
              <w:top w:val="nil"/>
              <w:bottom w:val="nil"/>
            </w:tcBorders>
          </w:tcPr>
          <w:p w14:paraId="27AECE09"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辦理電子式專屬線路下單業務，是否確實遵循證交所「營業細則」、櫃檯買賣中心「業務規則」、證交所「證券經紀商受託契約準則」、證交所及櫃檯買賣中心「證券經紀商辦理電子式專屬線路下單(Direct Market Access)作業要點」等證券市場相關規定，落實資通安全與風險管控，未有影響證券集中交易市場及櫃檯買賣市場秩序與效率之行為。</w:t>
            </w:r>
          </w:p>
        </w:tc>
        <w:tc>
          <w:tcPr>
            <w:tcW w:w="5387" w:type="dxa"/>
            <w:tcBorders>
              <w:top w:val="nil"/>
              <w:bottom w:val="nil"/>
            </w:tcBorders>
          </w:tcPr>
          <w:p w14:paraId="78230A4E"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辦理電子式專屬線路下單業務，是否確實遵循證交所「營業細則」、櫃檯買賣中心「業務規則」、證交所「證券經紀商受託契約準則」、證交所及櫃檯買賣中心「證券經紀商辦理電子式專屬線路下單(Direct Market Access)作業要點」等證券市場相關規定，落實資通安全與風險管控，未有影響證券集中交易市場及櫃檯買賣市場秩序與效率之行為。</w:t>
            </w:r>
          </w:p>
        </w:tc>
        <w:tc>
          <w:tcPr>
            <w:tcW w:w="2023" w:type="dxa"/>
            <w:vMerge/>
            <w:tcBorders>
              <w:right w:val="single" w:sz="12" w:space="0" w:color="auto"/>
            </w:tcBorders>
          </w:tcPr>
          <w:p w14:paraId="734F46C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EDD3F03" w14:textId="77777777">
        <w:tc>
          <w:tcPr>
            <w:tcW w:w="1384" w:type="dxa"/>
            <w:vMerge/>
            <w:tcBorders>
              <w:left w:val="single" w:sz="12" w:space="0" w:color="auto"/>
            </w:tcBorders>
          </w:tcPr>
          <w:p w14:paraId="14D90C36" w14:textId="77777777" w:rsidR="003B3105" w:rsidRDefault="003B3105" w:rsidP="001E533B">
            <w:pPr>
              <w:rPr>
                <w:rFonts w:ascii="新細明體" w:eastAsia="新細明體" w:hAnsi="新細明體"/>
              </w:rPr>
            </w:pPr>
          </w:p>
        </w:tc>
        <w:tc>
          <w:tcPr>
            <w:tcW w:w="1276" w:type="dxa"/>
            <w:vMerge/>
          </w:tcPr>
          <w:p w14:paraId="65B62C1C" w14:textId="77777777" w:rsidR="003B3105" w:rsidRDefault="003B3105" w:rsidP="001E533B">
            <w:pPr>
              <w:rPr>
                <w:rFonts w:ascii="新細明體" w:eastAsia="新細明體" w:hAnsi="新細明體"/>
              </w:rPr>
            </w:pPr>
          </w:p>
        </w:tc>
        <w:tc>
          <w:tcPr>
            <w:tcW w:w="5386" w:type="dxa"/>
            <w:tcBorders>
              <w:top w:val="nil"/>
              <w:bottom w:val="nil"/>
            </w:tcBorders>
          </w:tcPr>
          <w:p w14:paraId="18C72CBA"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辦理電子式專屬線路下單(DMA)業務者，是否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客戶身分及客戶間關聯性之管理機制(註：請公司自訂)並落實執行。</w:t>
            </w:r>
          </w:p>
        </w:tc>
        <w:tc>
          <w:tcPr>
            <w:tcW w:w="5387" w:type="dxa"/>
            <w:tcBorders>
              <w:top w:val="nil"/>
              <w:bottom w:val="nil"/>
            </w:tcBorders>
          </w:tcPr>
          <w:p w14:paraId="2C0BAD65"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辦理電子式專屬線路下單(DMA)業務者，是否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客戶身分及客戶間關聯性之管理機制(註：請公司自訂)並落實執行。</w:t>
            </w:r>
          </w:p>
        </w:tc>
        <w:tc>
          <w:tcPr>
            <w:tcW w:w="2023" w:type="dxa"/>
            <w:vMerge/>
            <w:tcBorders>
              <w:right w:val="single" w:sz="12" w:space="0" w:color="auto"/>
            </w:tcBorders>
          </w:tcPr>
          <w:p w14:paraId="5707BC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2B26E9" w14:textId="77777777">
        <w:tc>
          <w:tcPr>
            <w:tcW w:w="1384" w:type="dxa"/>
            <w:vMerge/>
            <w:tcBorders>
              <w:left w:val="single" w:sz="12" w:space="0" w:color="auto"/>
            </w:tcBorders>
          </w:tcPr>
          <w:p w14:paraId="68C748F4" w14:textId="77777777" w:rsidR="003B3105" w:rsidRDefault="003B3105" w:rsidP="001E533B">
            <w:pPr>
              <w:rPr>
                <w:rFonts w:ascii="新細明體" w:eastAsia="新細明體" w:hAnsi="新細明體"/>
              </w:rPr>
            </w:pPr>
          </w:p>
        </w:tc>
        <w:tc>
          <w:tcPr>
            <w:tcW w:w="1276" w:type="dxa"/>
            <w:vMerge/>
          </w:tcPr>
          <w:p w14:paraId="4046A3F0" w14:textId="77777777" w:rsidR="003B3105" w:rsidRDefault="003B3105" w:rsidP="001E533B">
            <w:pPr>
              <w:rPr>
                <w:rFonts w:ascii="新細明體" w:eastAsia="新細明體" w:hAnsi="新細明體"/>
              </w:rPr>
            </w:pPr>
          </w:p>
        </w:tc>
        <w:tc>
          <w:tcPr>
            <w:tcW w:w="5386" w:type="dxa"/>
            <w:tcBorders>
              <w:top w:val="nil"/>
              <w:bottom w:val="nil"/>
            </w:tcBorders>
          </w:tcPr>
          <w:p w14:paraId="710C0C3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(三十六)對已列入高風險之股票是否依公司所採行之降低風險措施執行控管，並訂定篩選指標及標準之檢視週期，定期進行</w:t>
            </w:r>
            <w:r>
              <w:rPr>
                <w:rFonts w:ascii="新細明體" w:eastAsia="新細明體" w:hAnsi="新細明體" w:cs="新細明體" w:hint="eastAsia"/>
              </w:rPr>
              <w:lastRenderedPageBreak/>
              <w:t>檢視及更新作業。另應避免有例外管理情事，如有必要時，權責主管應於例外管理前，審慎評估客戶之信用狀況、資力變化、交易損益及其他風險狀況，據以判斷是否核准。</w:t>
            </w:r>
          </w:p>
        </w:tc>
        <w:tc>
          <w:tcPr>
            <w:tcW w:w="5387" w:type="dxa"/>
            <w:tcBorders>
              <w:top w:val="nil"/>
              <w:bottom w:val="nil"/>
            </w:tcBorders>
          </w:tcPr>
          <w:p w14:paraId="763DBEF8"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(三十六)對已列入高風險之股票是否依公司所採行之降低風險措施執行控管，並訂定篩選指標及標準之檢視週期，定期進行</w:t>
            </w:r>
            <w:r>
              <w:rPr>
                <w:rFonts w:ascii="新細明體" w:eastAsia="新細明體" w:hAnsi="新細明體" w:cs="新細明體" w:hint="eastAsia"/>
              </w:rPr>
              <w:lastRenderedPageBreak/>
              <w:t>檢視及更新作業。另應避免有例外管理情事，如有必要時，權責主管應於例外管理前，審慎評估客戶之信用狀況、資力變化、交易損益及其他風險狀況，據以判斷是否核准。</w:t>
            </w:r>
          </w:p>
        </w:tc>
        <w:tc>
          <w:tcPr>
            <w:tcW w:w="2023" w:type="dxa"/>
            <w:vMerge/>
            <w:tcBorders>
              <w:right w:val="single" w:sz="12" w:space="0" w:color="auto"/>
            </w:tcBorders>
          </w:tcPr>
          <w:p w14:paraId="39D42F6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983CDE" w14:textId="77777777">
        <w:tc>
          <w:tcPr>
            <w:tcW w:w="1384" w:type="dxa"/>
            <w:vMerge/>
            <w:tcBorders>
              <w:left w:val="single" w:sz="12" w:space="0" w:color="auto"/>
            </w:tcBorders>
          </w:tcPr>
          <w:p w14:paraId="3E807DBB" w14:textId="77777777" w:rsidR="003B3105" w:rsidRDefault="003B3105" w:rsidP="001E533B">
            <w:pPr>
              <w:rPr>
                <w:rFonts w:ascii="新細明體" w:eastAsia="新細明體" w:hAnsi="新細明體"/>
              </w:rPr>
            </w:pPr>
          </w:p>
        </w:tc>
        <w:tc>
          <w:tcPr>
            <w:tcW w:w="1276" w:type="dxa"/>
            <w:vMerge/>
          </w:tcPr>
          <w:p w14:paraId="6264348A" w14:textId="77777777" w:rsidR="003B3105" w:rsidRDefault="003B3105" w:rsidP="001E533B">
            <w:pPr>
              <w:rPr>
                <w:rFonts w:ascii="新細明體" w:eastAsia="新細明體" w:hAnsi="新細明體"/>
              </w:rPr>
            </w:pPr>
          </w:p>
        </w:tc>
        <w:tc>
          <w:tcPr>
            <w:tcW w:w="5386" w:type="dxa"/>
            <w:tcBorders>
              <w:top w:val="nil"/>
              <w:bottom w:val="nil"/>
            </w:tcBorders>
          </w:tcPr>
          <w:p w14:paraId="3940888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(三十七)公司及從業人員以facebook、部落格或電子郵件等方式提供客戶有價證券買賣資訊是否符合相關規定。</w:t>
            </w:r>
          </w:p>
        </w:tc>
        <w:tc>
          <w:tcPr>
            <w:tcW w:w="5387" w:type="dxa"/>
            <w:tcBorders>
              <w:top w:val="nil"/>
              <w:bottom w:val="nil"/>
            </w:tcBorders>
          </w:tcPr>
          <w:p w14:paraId="7BC22FD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(三十七)公司及從業人員以facebook、部落格或電子郵件等方式提供客戶有價證券買賣資訊是否符合相關規定。</w:t>
            </w:r>
          </w:p>
        </w:tc>
        <w:tc>
          <w:tcPr>
            <w:tcW w:w="2023" w:type="dxa"/>
            <w:vMerge/>
            <w:tcBorders>
              <w:right w:val="single" w:sz="12" w:space="0" w:color="auto"/>
            </w:tcBorders>
          </w:tcPr>
          <w:p w14:paraId="63B2C0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9B706E7" w14:textId="77777777">
        <w:tc>
          <w:tcPr>
            <w:tcW w:w="1384" w:type="dxa"/>
            <w:vMerge/>
            <w:tcBorders>
              <w:left w:val="single" w:sz="12" w:space="0" w:color="auto"/>
            </w:tcBorders>
          </w:tcPr>
          <w:p w14:paraId="7A63EB4F" w14:textId="77777777" w:rsidR="003B3105" w:rsidRDefault="003B3105" w:rsidP="001E533B">
            <w:pPr>
              <w:rPr>
                <w:rFonts w:ascii="新細明體" w:eastAsia="新細明體" w:hAnsi="新細明體"/>
              </w:rPr>
            </w:pPr>
          </w:p>
        </w:tc>
        <w:tc>
          <w:tcPr>
            <w:tcW w:w="1276" w:type="dxa"/>
            <w:vMerge/>
          </w:tcPr>
          <w:p w14:paraId="66472DA8" w14:textId="77777777" w:rsidR="003B3105" w:rsidRDefault="003B3105" w:rsidP="001E533B">
            <w:pPr>
              <w:rPr>
                <w:rFonts w:ascii="新細明體" w:eastAsia="新細明體" w:hAnsi="新細明體"/>
              </w:rPr>
            </w:pPr>
          </w:p>
        </w:tc>
        <w:tc>
          <w:tcPr>
            <w:tcW w:w="5386" w:type="dxa"/>
            <w:tcBorders>
              <w:top w:val="nil"/>
              <w:bottom w:val="nil"/>
            </w:tcBorders>
          </w:tcPr>
          <w:p w14:paraId="53AF7EE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公司及所屬人員是否未為獲取投機利益之目的，以職務上所知悉之消息，從事上市櫃有價證券買賣之交易活動或其他不正當情事；為防範於職務上知悉投信基金委託買賣之相關訊息時，有違規行為發生，公司是否就相關訊息之保密訂定完整控管程序並確實執行。</w:t>
            </w:r>
          </w:p>
        </w:tc>
        <w:tc>
          <w:tcPr>
            <w:tcW w:w="5387" w:type="dxa"/>
            <w:tcBorders>
              <w:top w:val="nil"/>
              <w:bottom w:val="nil"/>
            </w:tcBorders>
          </w:tcPr>
          <w:p w14:paraId="0EA3CA2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八)公司及所屬人員是否未為獲取投機利益之目的，以職務上所知悉之消息，從事上市櫃有價證券買賣之交易活動或其他不正當情事；為防範於職務上知悉投信基金委託買賣之相關訊息時，有違規行為發生，公司是否就相關訊息之保密訂定完整控管程序並確實執行。</w:t>
            </w:r>
          </w:p>
        </w:tc>
        <w:tc>
          <w:tcPr>
            <w:tcW w:w="2023" w:type="dxa"/>
            <w:vMerge/>
            <w:tcBorders>
              <w:right w:val="single" w:sz="12" w:space="0" w:color="auto"/>
            </w:tcBorders>
          </w:tcPr>
          <w:p w14:paraId="3C8EB4B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3CA346" w14:textId="77777777">
        <w:tc>
          <w:tcPr>
            <w:tcW w:w="1384" w:type="dxa"/>
            <w:vMerge/>
            <w:tcBorders>
              <w:left w:val="single" w:sz="12" w:space="0" w:color="auto"/>
            </w:tcBorders>
          </w:tcPr>
          <w:p w14:paraId="0D909786" w14:textId="77777777" w:rsidR="003B3105" w:rsidRDefault="003B3105" w:rsidP="001E533B">
            <w:pPr>
              <w:rPr>
                <w:rFonts w:ascii="新細明體" w:eastAsia="新細明體" w:hAnsi="新細明體"/>
              </w:rPr>
            </w:pPr>
          </w:p>
        </w:tc>
        <w:tc>
          <w:tcPr>
            <w:tcW w:w="1276" w:type="dxa"/>
            <w:vMerge/>
          </w:tcPr>
          <w:p w14:paraId="7F11ADB7" w14:textId="77777777" w:rsidR="003B3105" w:rsidRDefault="003B3105" w:rsidP="001E533B">
            <w:pPr>
              <w:rPr>
                <w:rFonts w:ascii="新細明體" w:eastAsia="新細明體" w:hAnsi="新細明體"/>
              </w:rPr>
            </w:pPr>
          </w:p>
        </w:tc>
        <w:tc>
          <w:tcPr>
            <w:tcW w:w="5386" w:type="dxa"/>
            <w:tcBorders>
              <w:top w:val="nil"/>
              <w:bottom w:val="nil"/>
            </w:tcBorders>
          </w:tcPr>
          <w:p w14:paraId="644254F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接受法人、其他機構或特定自然人，於其指定漲跌幅範圍之價格區間內，授權公司代為決定價格及下單時間，是否依規定保存客戶授權委託紀錄，前開特定自然人是否符合證交所營業細則、櫃檯買賣中心業務規則、券商公會會員接受客戶授權委託買賣有價證券自律規則及相關規定。申報買賣時是否視市場情況及市場供求關係，注意勿損及市場公正價格之形成及市場之健全發展。</w:t>
            </w:r>
          </w:p>
        </w:tc>
        <w:tc>
          <w:tcPr>
            <w:tcW w:w="5387" w:type="dxa"/>
            <w:tcBorders>
              <w:top w:val="nil"/>
              <w:bottom w:val="nil"/>
            </w:tcBorders>
          </w:tcPr>
          <w:p w14:paraId="5FC281F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三十九)接受法人、其他機構或特定自然人，於其指定漲跌幅範圍之價格區間內，授權公司代為決定價格及下單時間，是否依規定保存客戶授權委託紀錄，前開特定自然人是否符合證交所營業細則、櫃檯買賣中心業務規則、券商公會會員接受客戶授權委託買賣有價證券自律規則及相關規定。申報買賣時是否視市場情況及市場供求關係，注意勿損及市場公正價格之形成及市場之健全發展。</w:t>
            </w:r>
          </w:p>
        </w:tc>
        <w:tc>
          <w:tcPr>
            <w:tcW w:w="2023" w:type="dxa"/>
            <w:vMerge/>
            <w:tcBorders>
              <w:right w:val="single" w:sz="12" w:space="0" w:color="auto"/>
            </w:tcBorders>
          </w:tcPr>
          <w:p w14:paraId="43FFB7D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02319E8" w14:textId="77777777">
        <w:tc>
          <w:tcPr>
            <w:tcW w:w="1384" w:type="dxa"/>
            <w:vMerge/>
            <w:tcBorders>
              <w:left w:val="single" w:sz="12" w:space="0" w:color="auto"/>
            </w:tcBorders>
          </w:tcPr>
          <w:p w14:paraId="65508B0B" w14:textId="77777777" w:rsidR="003B3105" w:rsidRDefault="003B3105" w:rsidP="001E533B">
            <w:pPr>
              <w:rPr>
                <w:rFonts w:ascii="新細明體" w:eastAsia="新細明體" w:hAnsi="新細明體"/>
              </w:rPr>
            </w:pPr>
          </w:p>
        </w:tc>
        <w:tc>
          <w:tcPr>
            <w:tcW w:w="1276" w:type="dxa"/>
            <w:vMerge/>
          </w:tcPr>
          <w:p w14:paraId="5DF3244C" w14:textId="77777777" w:rsidR="003B3105" w:rsidRDefault="003B3105" w:rsidP="001E533B">
            <w:pPr>
              <w:rPr>
                <w:rFonts w:ascii="新細明體" w:eastAsia="新細明體" w:hAnsi="新細明體"/>
              </w:rPr>
            </w:pPr>
          </w:p>
        </w:tc>
        <w:tc>
          <w:tcPr>
            <w:tcW w:w="5386" w:type="dxa"/>
            <w:tcBorders>
              <w:top w:val="nil"/>
              <w:bottom w:val="nil"/>
            </w:tcBorders>
          </w:tcPr>
          <w:p w14:paraId="53C468C0"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(四十)公司受託買進創新板有價證券，委託人除專業機構投資人外，於其初次買進創</w:t>
            </w:r>
            <w:r>
              <w:rPr>
                <w:rFonts w:ascii="新細明體" w:eastAsia="新細明體" w:hAnsi="新細明體" w:cs="新細明體" w:hint="eastAsia"/>
              </w:rPr>
              <w:lastRenderedPageBreak/>
              <w:t>新板上市有價證券前，是否已簽署創新板上市有價證券風險預告書並經專人解說，公司始得接受其委託(採電子簽章簽署方式，適用證交所104年8月27日臺證輔字第1040016021號函規定，應強化簽署程序)。</w:t>
            </w:r>
          </w:p>
        </w:tc>
        <w:tc>
          <w:tcPr>
            <w:tcW w:w="5387" w:type="dxa"/>
            <w:tcBorders>
              <w:top w:val="nil"/>
              <w:bottom w:val="nil"/>
            </w:tcBorders>
          </w:tcPr>
          <w:p w14:paraId="30F3723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(四十)公司受託買進創新板有價證券，委託人除專業機構投資人外，於其初次買進創</w:t>
            </w:r>
            <w:r>
              <w:rPr>
                <w:rFonts w:ascii="新細明體" w:eastAsia="新細明體" w:hAnsi="新細明體" w:cs="新細明體" w:hint="eastAsia"/>
              </w:rPr>
              <w:lastRenderedPageBreak/>
              <w:t>新板上市有價證券前，是否已簽署創新板上市有價證券風險預告書並經專人解說，公司始得接受其委託(採電子簽章簽署方式，適用證交所104年8月27日臺證輔字第1040016021號函規定，應強化簽署程序)。</w:t>
            </w:r>
          </w:p>
        </w:tc>
        <w:tc>
          <w:tcPr>
            <w:tcW w:w="2023" w:type="dxa"/>
            <w:vMerge/>
            <w:tcBorders>
              <w:right w:val="single" w:sz="12" w:space="0" w:color="auto"/>
            </w:tcBorders>
          </w:tcPr>
          <w:p w14:paraId="06720B2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68CC9AE" w14:textId="77777777">
        <w:tc>
          <w:tcPr>
            <w:tcW w:w="1384" w:type="dxa"/>
            <w:vMerge/>
            <w:tcBorders>
              <w:left w:val="single" w:sz="12" w:space="0" w:color="auto"/>
            </w:tcBorders>
          </w:tcPr>
          <w:p w14:paraId="3DA5B658" w14:textId="77777777" w:rsidR="003B3105" w:rsidRDefault="003B3105" w:rsidP="001E533B">
            <w:pPr>
              <w:rPr>
                <w:rFonts w:ascii="新細明體" w:eastAsia="新細明體" w:hAnsi="新細明體"/>
              </w:rPr>
            </w:pPr>
          </w:p>
        </w:tc>
        <w:tc>
          <w:tcPr>
            <w:tcW w:w="1276" w:type="dxa"/>
            <w:vMerge/>
          </w:tcPr>
          <w:p w14:paraId="19511860" w14:textId="77777777" w:rsidR="003B3105" w:rsidRDefault="003B3105" w:rsidP="001E533B">
            <w:pPr>
              <w:rPr>
                <w:rFonts w:ascii="新細明體" w:eastAsia="新細明體" w:hAnsi="新細明體"/>
              </w:rPr>
            </w:pPr>
          </w:p>
        </w:tc>
        <w:tc>
          <w:tcPr>
            <w:tcW w:w="5386" w:type="dxa"/>
            <w:tcBorders>
              <w:top w:val="nil"/>
              <w:bottom w:val="nil"/>
            </w:tcBorders>
          </w:tcPr>
          <w:p w14:paraId="5720DC8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(四十一)(刪除)</w:t>
            </w:r>
          </w:p>
        </w:tc>
        <w:tc>
          <w:tcPr>
            <w:tcW w:w="5387" w:type="dxa"/>
            <w:tcBorders>
              <w:top w:val="nil"/>
              <w:bottom w:val="nil"/>
            </w:tcBorders>
          </w:tcPr>
          <w:p w14:paraId="22B86BE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(四十一)(刪除)</w:t>
            </w:r>
          </w:p>
        </w:tc>
        <w:tc>
          <w:tcPr>
            <w:tcW w:w="2023" w:type="dxa"/>
            <w:vMerge/>
            <w:tcBorders>
              <w:right w:val="single" w:sz="12" w:space="0" w:color="auto"/>
            </w:tcBorders>
          </w:tcPr>
          <w:p w14:paraId="181130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84C7C79" w14:textId="77777777">
        <w:tc>
          <w:tcPr>
            <w:tcW w:w="1384" w:type="dxa"/>
            <w:vMerge/>
            <w:tcBorders>
              <w:left w:val="single" w:sz="12" w:space="0" w:color="auto"/>
            </w:tcBorders>
          </w:tcPr>
          <w:p w14:paraId="4221FCEA" w14:textId="77777777" w:rsidR="003B3105" w:rsidRDefault="003B3105" w:rsidP="001E533B">
            <w:pPr>
              <w:rPr>
                <w:rFonts w:ascii="新細明體" w:eastAsia="新細明體" w:hAnsi="新細明體"/>
              </w:rPr>
            </w:pPr>
          </w:p>
        </w:tc>
        <w:tc>
          <w:tcPr>
            <w:tcW w:w="1276" w:type="dxa"/>
            <w:vMerge/>
          </w:tcPr>
          <w:p w14:paraId="2CF07BA5" w14:textId="77777777" w:rsidR="003B3105" w:rsidRDefault="003B3105" w:rsidP="001E533B">
            <w:pPr>
              <w:rPr>
                <w:rFonts w:ascii="新細明體" w:eastAsia="新細明體" w:hAnsi="新細明體"/>
              </w:rPr>
            </w:pPr>
          </w:p>
        </w:tc>
        <w:tc>
          <w:tcPr>
            <w:tcW w:w="5386" w:type="dxa"/>
            <w:tcBorders>
              <w:top w:val="nil"/>
              <w:bottom w:val="nil"/>
            </w:tcBorders>
          </w:tcPr>
          <w:p w14:paraId="20C42C3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公司提供客戶不同交易型態之「設定交易條件下單」功能時，買賣申報價格及有效期別是否依證交所營業細則第58條之8、櫃檯買賣中心業務規則第35條之12規定辦理；且其委託書製作及保存，是否依證交所營業細則第75條第8及10款、櫃檯買賣中心業務規則第62條第2及4項之規範辦理；「設定交易條件下單」採網際網路委託時，是否完整保存客戶原始委託資料、條件觸發時之委託資料及憑證機構所簽發之電子簽章，且於委託紀錄之委託方式中記載係以網際網路電腦程式設定交易條件下單以茲區別；若「設定交易條件下單」係採當面委託時，是否另提供條件式下單書面格式（含所接受之條件），由客戶填寫附於「委託書」後，作為發生爭議時之憑證。</w:t>
            </w:r>
          </w:p>
        </w:tc>
        <w:tc>
          <w:tcPr>
            <w:tcW w:w="5387" w:type="dxa"/>
            <w:tcBorders>
              <w:top w:val="nil"/>
              <w:bottom w:val="nil"/>
            </w:tcBorders>
          </w:tcPr>
          <w:p w14:paraId="20E18B4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二)公司提供客戶不同交易型態之「設定交易條件下單」功能時，買賣申報價格及有效期別是否依證交所營業細則第58條之8、櫃檯買賣中心業務規則第35條之12規定辦理；且其委託書製作及保存，是否依證交所營業細則第75條第8及10款、櫃檯買賣中心業務規則第62條第2及4項之規範辦理；「設定交易條件下單」採網際網路委託時，是否完整保存客戶原始委託資料、條件觸發時之委託資料及憑證機構所簽發之電子簽章，且於委託紀錄之委託方式中記載係以網際網路電腦程式設定交易條件下單以茲區別；若「設定交易條件下單」係採當面委託時，是否另提供條件式下單書面格式（含所接受之條件），由客戶填寫附於「委託書」後，作為發生爭議時之憑證。</w:t>
            </w:r>
          </w:p>
        </w:tc>
        <w:tc>
          <w:tcPr>
            <w:tcW w:w="2023" w:type="dxa"/>
            <w:vMerge/>
            <w:tcBorders>
              <w:right w:val="single" w:sz="12" w:space="0" w:color="auto"/>
            </w:tcBorders>
          </w:tcPr>
          <w:p w14:paraId="07A822D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C2453D" w14:textId="77777777">
        <w:tc>
          <w:tcPr>
            <w:tcW w:w="1384" w:type="dxa"/>
            <w:vMerge/>
            <w:tcBorders>
              <w:left w:val="single" w:sz="12" w:space="0" w:color="auto"/>
            </w:tcBorders>
          </w:tcPr>
          <w:p w14:paraId="095011EA" w14:textId="77777777" w:rsidR="003B3105" w:rsidRDefault="003B3105" w:rsidP="001E533B">
            <w:pPr>
              <w:rPr>
                <w:rFonts w:ascii="新細明體" w:eastAsia="新細明體" w:hAnsi="新細明體"/>
              </w:rPr>
            </w:pPr>
          </w:p>
        </w:tc>
        <w:tc>
          <w:tcPr>
            <w:tcW w:w="1276" w:type="dxa"/>
            <w:vMerge/>
          </w:tcPr>
          <w:p w14:paraId="5FCBFD52" w14:textId="77777777" w:rsidR="003B3105" w:rsidRDefault="003B3105" w:rsidP="001E533B">
            <w:pPr>
              <w:rPr>
                <w:rFonts w:ascii="新細明體" w:eastAsia="新細明體" w:hAnsi="新細明體"/>
              </w:rPr>
            </w:pPr>
          </w:p>
        </w:tc>
        <w:tc>
          <w:tcPr>
            <w:tcW w:w="5386" w:type="dxa"/>
            <w:tcBorders>
              <w:top w:val="nil"/>
              <w:bottom w:val="nil"/>
            </w:tcBorders>
          </w:tcPr>
          <w:p w14:paraId="2FC21F4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(四十三)對於客戶為取得首次買賣槓桿反向指數股票型證券投資信託基金受益憑證、</w:t>
            </w:r>
            <w:r>
              <w:rPr>
                <w:rFonts w:ascii="新細明體" w:eastAsia="新細明體" w:hAnsi="新細明體" w:cs="新細明體" w:hint="eastAsia"/>
              </w:rPr>
              <w:lastRenderedPageBreak/>
              <w:t>槓桿反向指數股票型期貨信託基金受益憑證、槓桿反向型指數投資證券之條件，而有從事異常買賣時，是否評估客戶具有買賣辦法規定首次買賣應具備條件之實質經驗，必要時得予拒絕受託買賣。惟得接受客戶因繼承取得槓桿反向ETF之委託賣出，不受適格性條件之限制。</w:t>
            </w:r>
          </w:p>
        </w:tc>
        <w:tc>
          <w:tcPr>
            <w:tcW w:w="5387" w:type="dxa"/>
            <w:tcBorders>
              <w:top w:val="nil"/>
              <w:bottom w:val="nil"/>
            </w:tcBorders>
          </w:tcPr>
          <w:p w14:paraId="45370DF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(四十三)對於客戶為取得首次買賣槓桿反向指數股票型證券投資信託基金受益憑證、</w:t>
            </w:r>
            <w:r>
              <w:rPr>
                <w:rFonts w:ascii="新細明體" w:eastAsia="新細明體" w:hAnsi="新細明體" w:cs="新細明體" w:hint="eastAsia"/>
              </w:rPr>
              <w:lastRenderedPageBreak/>
              <w:t>槓桿反向指數股票型期貨信託基金受益憑證、槓桿反向型指數投資證券之條件，而有從事異常買賣時，是否評估客戶具有買賣辦法規定首次買賣應具備條件之實質經驗，必要時得予拒絕受託買賣。惟得接受客戶因繼承取得槓桿反向ETF之委託賣出，不受適格性條件之限制。</w:t>
            </w:r>
          </w:p>
        </w:tc>
        <w:tc>
          <w:tcPr>
            <w:tcW w:w="2023" w:type="dxa"/>
            <w:vMerge/>
            <w:tcBorders>
              <w:right w:val="single" w:sz="12" w:space="0" w:color="auto"/>
            </w:tcBorders>
          </w:tcPr>
          <w:p w14:paraId="6C1F530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7FB1EE" w14:textId="77777777">
        <w:tc>
          <w:tcPr>
            <w:tcW w:w="1384" w:type="dxa"/>
            <w:vMerge/>
            <w:tcBorders>
              <w:left w:val="single" w:sz="12" w:space="0" w:color="auto"/>
            </w:tcBorders>
          </w:tcPr>
          <w:p w14:paraId="1FE6E019" w14:textId="77777777" w:rsidR="003B3105" w:rsidRDefault="003B3105" w:rsidP="001E533B">
            <w:pPr>
              <w:rPr>
                <w:rFonts w:ascii="新細明體" w:eastAsia="新細明體" w:hAnsi="新細明體"/>
              </w:rPr>
            </w:pPr>
          </w:p>
        </w:tc>
        <w:tc>
          <w:tcPr>
            <w:tcW w:w="1276" w:type="dxa"/>
            <w:vMerge/>
          </w:tcPr>
          <w:p w14:paraId="772FD5A0" w14:textId="77777777" w:rsidR="003B3105" w:rsidRDefault="003B3105" w:rsidP="001E533B">
            <w:pPr>
              <w:rPr>
                <w:rFonts w:ascii="新細明體" w:eastAsia="新細明體" w:hAnsi="新細明體"/>
              </w:rPr>
            </w:pPr>
          </w:p>
        </w:tc>
        <w:tc>
          <w:tcPr>
            <w:tcW w:w="5386" w:type="dxa"/>
            <w:tcBorders>
              <w:top w:val="nil"/>
              <w:bottom w:val="nil"/>
            </w:tcBorders>
          </w:tcPr>
          <w:p w14:paraId="0123645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(四十四)公司負責人兼任其他公司負責人，並代表該其他公司於所屬證券商辦理開戶及買賣有價證券者：</w:t>
            </w:r>
          </w:p>
        </w:tc>
        <w:tc>
          <w:tcPr>
            <w:tcW w:w="5387" w:type="dxa"/>
            <w:tcBorders>
              <w:top w:val="nil"/>
              <w:bottom w:val="nil"/>
            </w:tcBorders>
          </w:tcPr>
          <w:p w14:paraId="45CC67B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(四十四)公司負責人兼任其他公司負責人，並代表該其他公司於所屬證券商辦理開戶及買賣有價證券者：</w:t>
            </w:r>
          </w:p>
        </w:tc>
        <w:tc>
          <w:tcPr>
            <w:tcW w:w="2023" w:type="dxa"/>
            <w:vMerge/>
            <w:tcBorders>
              <w:right w:val="single" w:sz="12" w:space="0" w:color="auto"/>
            </w:tcBorders>
          </w:tcPr>
          <w:p w14:paraId="4DB4C89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103632B" w14:textId="77777777">
        <w:tc>
          <w:tcPr>
            <w:tcW w:w="1384" w:type="dxa"/>
            <w:vMerge/>
            <w:tcBorders>
              <w:left w:val="single" w:sz="12" w:space="0" w:color="auto"/>
            </w:tcBorders>
          </w:tcPr>
          <w:p w14:paraId="5CD9BAF8" w14:textId="77777777" w:rsidR="003B3105" w:rsidRDefault="003B3105" w:rsidP="001E533B">
            <w:pPr>
              <w:rPr>
                <w:rFonts w:ascii="新細明體" w:eastAsia="新細明體" w:hAnsi="新細明體"/>
              </w:rPr>
            </w:pPr>
          </w:p>
        </w:tc>
        <w:tc>
          <w:tcPr>
            <w:tcW w:w="1276" w:type="dxa"/>
            <w:vMerge/>
          </w:tcPr>
          <w:p w14:paraId="27E6AF2F" w14:textId="77777777" w:rsidR="003B3105" w:rsidRDefault="003B3105" w:rsidP="001E533B">
            <w:pPr>
              <w:rPr>
                <w:rFonts w:ascii="新細明體" w:eastAsia="新細明體" w:hAnsi="新細明體"/>
              </w:rPr>
            </w:pPr>
          </w:p>
        </w:tc>
        <w:tc>
          <w:tcPr>
            <w:tcW w:w="5386" w:type="dxa"/>
            <w:tcBorders>
              <w:top w:val="nil"/>
              <w:bottom w:val="nil"/>
            </w:tcBorders>
          </w:tcPr>
          <w:p w14:paraId="57DB77E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1.是否簽署避免利益衝突聲明書。</w:t>
            </w:r>
          </w:p>
        </w:tc>
        <w:tc>
          <w:tcPr>
            <w:tcW w:w="5387" w:type="dxa"/>
            <w:tcBorders>
              <w:top w:val="nil"/>
              <w:bottom w:val="nil"/>
            </w:tcBorders>
          </w:tcPr>
          <w:p w14:paraId="19941DA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1.是否簽署避免利益衝突聲明書。</w:t>
            </w:r>
          </w:p>
        </w:tc>
        <w:tc>
          <w:tcPr>
            <w:tcW w:w="2023" w:type="dxa"/>
            <w:vMerge/>
            <w:tcBorders>
              <w:right w:val="single" w:sz="12" w:space="0" w:color="auto"/>
            </w:tcBorders>
          </w:tcPr>
          <w:p w14:paraId="6243759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08D1F0" w14:textId="77777777">
        <w:tc>
          <w:tcPr>
            <w:tcW w:w="1384" w:type="dxa"/>
            <w:vMerge/>
            <w:tcBorders>
              <w:left w:val="single" w:sz="12" w:space="0" w:color="auto"/>
            </w:tcBorders>
          </w:tcPr>
          <w:p w14:paraId="0A005ABE" w14:textId="77777777" w:rsidR="003B3105" w:rsidRDefault="003B3105" w:rsidP="001E533B">
            <w:pPr>
              <w:rPr>
                <w:rFonts w:ascii="新細明體" w:eastAsia="新細明體" w:hAnsi="新細明體"/>
              </w:rPr>
            </w:pPr>
          </w:p>
        </w:tc>
        <w:tc>
          <w:tcPr>
            <w:tcW w:w="1276" w:type="dxa"/>
            <w:vMerge/>
          </w:tcPr>
          <w:p w14:paraId="4AA5D0A3" w14:textId="77777777" w:rsidR="003B3105" w:rsidRDefault="003B3105" w:rsidP="001E533B">
            <w:pPr>
              <w:rPr>
                <w:rFonts w:ascii="新細明體" w:eastAsia="新細明體" w:hAnsi="新細明體"/>
              </w:rPr>
            </w:pPr>
          </w:p>
        </w:tc>
        <w:tc>
          <w:tcPr>
            <w:tcW w:w="5386" w:type="dxa"/>
            <w:tcBorders>
              <w:top w:val="nil"/>
              <w:bottom w:val="nil"/>
            </w:tcBorders>
          </w:tcPr>
          <w:p w14:paraId="5641DE1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符合券商公會「證券商防制洗錢及打擊資恐注意事項範本」(下稱注意事項範本)附錄-疑似洗錢、資恐或武擴交易態樣所列「開立數個投資帳戶，而這些帳號都指定同一人作為共同或授權委託人」或「以不同公司名義但皆有相同之法定代表人或有權簽署人，開立數個帳戶」等態樣，是否進行關聯戶建檔並比照注意事項範本規定對關聯戶等帳戶及交易持續監控。</w:t>
            </w:r>
          </w:p>
        </w:tc>
        <w:tc>
          <w:tcPr>
            <w:tcW w:w="5387" w:type="dxa"/>
            <w:tcBorders>
              <w:top w:val="nil"/>
              <w:bottom w:val="nil"/>
            </w:tcBorders>
          </w:tcPr>
          <w:p w14:paraId="37F2399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如符合券商公會「證券商防制洗錢及打擊資恐注意事項範本」(下稱注意事項範本)附錄-疑似洗錢、資恐或武擴交易態樣所列「開立數個投資帳戶，而這些帳號都指定同一人作為共同或授權委託人」或「以不同公司名義但皆有相同之法定代表人或有權簽署人，開立數個帳戶」等態樣，是否進行關聯戶建檔並比照注意事項範本規定對關聯戶等帳戶及交易持續監控。</w:t>
            </w:r>
          </w:p>
        </w:tc>
        <w:tc>
          <w:tcPr>
            <w:tcW w:w="2023" w:type="dxa"/>
            <w:vMerge/>
            <w:tcBorders>
              <w:right w:val="single" w:sz="12" w:space="0" w:color="auto"/>
            </w:tcBorders>
          </w:tcPr>
          <w:p w14:paraId="62989E9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ind w:leftChars="165" w:left="634" w:hangingChars="79" w:hanging="205"/>
              <w:rPr>
                <w:rFonts w:ascii="新細明體" w:eastAsia="新細明體" w:hAnsi="新細明體" w:cs="新細明體"/>
              </w:rPr>
            </w:pPr>
            <w:r>
              <w:rPr>
                <w:rFonts w:ascii="新細明體" w:eastAsia="新細明體" w:hAnsi="新細明體" w:cs="新細明體" w:hint="eastAsia"/>
              </w:rPr>
              <w:t>3.是否由公司於成交後檢查其交易有無涉及未公開資訊情形，或與公司或其他客戶有利益衝突而有迴避之必要，並是否於內部控制制度中訂定檢查程序。</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3.是否由公司於成交後檢查其交易有無涉及未公開資訊情形，或與公司或其他客戶有利益衝突而有迴避之必要，並是否於內部控制制度中訂定檢查程序。</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A614E"/>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B7978"/>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2555</Words>
  <Characters>14566</Characters>
  <Application>Microsoft Office Word</Application>
  <DocSecurity>0</DocSecurity>
  <Lines>121</Lines>
  <Paragraphs>34</Paragraphs>
  <ScaleCrop>false</ScaleCrop>
  <Company>Hewlett-Packard Company</Company>
  <LinksUpToDate>false</LinksUpToDate>
  <CharactersWithSpaces>17087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2026-03-27T02:05:00Z</dcterms:created>
  <dcterms:modified xsi:type="dcterms:W3CDTF">2026-03-27T02:05:00Z</dcterms:modified>
</cp:coreProperties>
</file>